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left"/>
        <w:rPr>
          <w:color w:val="222529"/>
        </w:rPr>
      </w:pPr>
      <w:bookmarkStart w:colFirst="0" w:colLast="0" w:name="_wnvr12ttgces" w:id="0"/>
      <w:bookmarkEnd w:id="0"/>
      <w:r w:rsidDel="00000000" w:rsidR="00000000" w:rsidRPr="00000000">
        <w:rPr>
          <w:color w:val="222529"/>
          <w:rtl w:val="0"/>
        </w:rPr>
        <w:t xml:space="preserve">Santiago: precio de viviendas disminuye </w:t>
      </w:r>
    </w:p>
    <w:p w:rsidR="00000000" w:rsidDel="00000000" w:rsidP="00000000" w:rsidRDefault="00000000" w:rsidRPr="00000000" w14:paraId="00000002">
      <w:pPr>
        <w:pStyle w:val="Heading1"/>
        <w:spacing w:after="200" w:before="0" w:lineRule="auto"/>
        <w:jc w:val="left"/>
        <w:rPr>
          <w:color w:val="222529"/>
        </w:rPr>
      </w:pPr>
      <w:bookmarkStart w:colFirst="0" w:colLast="0" w:name="_nxon3a48kw9a" w:id="1"/>
      <w:bookmarkEnd w:id="1"/>
      <w:r w:rsidDel="00000000" w:rsidR="00000000" w:rsidRPr="00000000">
        <w:rPr>
          <w:color w:val="222529"/>
          <w:rtl w:val="0"/>
        </w:rPr>
        <w:t xml:space="preserve">por séptimo mes consecutivo</w:t>
      </w:r>
    </w:p>
    <w:p w:rsidR="00000000" w:rsidDel="00000000" w:rsidP="00000000" w:rsidRDefault="00000000" w:rsidRPr="00000000" w14:paraId="00000003">
      <w:pPr>
        <w:spacing w:after="200" w:lineRule="auto"/>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precio promedio de las viviendas en venta en Santiago presenta una tendencia de crecimiento durante 2022.</w:t>
      </w:r>
    </w:p>
    <w:p w:rsidR="00000000" w:rsidDel="00000000" w:rsidP="00000000" w:rsidRDefault="00000000" w:rsidRPr="00000000" w14:paraId="00000004">
      <w:pPr>
        <w:spacing w:after="200" w:lineRule="auto"/>
        <w:rPr>
          <w:rFonts w:ascii="Montserrat Light" w:cs="Montserrat Light" w:eastAsia="Montserrat Light" w:hAnsi="Montserrat Light"/>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00" w:lineRule="auto"/>
        <w:rPr/>
      </w:pPr>
      <w:r w:rsidDel="00000000" w:rsidR="00000000" w:rsidRPr="00000000">
        <w:rPr>
          <w:b w:val="1"/>
          <w:rtl w:val="0"/>
        </w:rPr>
        <w:t xml:space="preserve">21</w:t>
      </w:r>
      <w:r w:rsidDel="00000000" w:rsidR="00000000" w:rsidRPr="00000000">
        <w:rPr>
          <w:b w:val="1"/>
          <w:rtl w:val="0"/>
        </w:rPr>
        <w:t xml:space="preserve"> de octubre de 2022, Santiago, Chile. </w:t>
      </w:r>
      <w:hyperlink r:id="rId6">
        <w:r w:rsidDel="00000000" w:rsidR="00000000" w:rsidRPr="00000000">
          <w:rPr>
            <w:color w:val="1155cc"/>
            <w:u w:val="single"/>
            <w:rtl w:val="0"/>
          </w:rPr>
          <w:t xml:space="preserve">Trovit</w:t>
        </w:r>
      </w:hyperlink>
      <w:r w:rsidDel="00000000" w:rsidR="00000000" w:rsidRPr="00000000">
        <w:rPr>
          <w:rtl w:val="0"/>
        </w:rPr>
        <w:t xml:space="preserve">, el portal de búsqueda global de inmuebles, presenta el reporte de nivel de precios de inmuebles en venta en la ciudad de Santiago. El primer informe mensual publicado en octubre, con cierre hasta el 30 de septiembre de 2022, registra que el nivel de precios de los departamentos en venta creció un 1,03% en comparación con el mes de agosto.</w:t>
      </w:r>
    </w:p>
    <w:p w:rsidR="00000000" w:rsidDel="00000000" w:rsidP="00000000" w:rsidRDefault="00000000" w:rsidRPr="00000000" w14:paraId="00000006">
      <w:pPr>
        <w:rPr>
          <w:sz w:val="22"/>
          <w:szCs w:val="22"/>
        </w:rPr>
      </w:pPr>
      <w:r w:rsidDel="00000000" w:rsidR="00000000" w:rsidRPr="00000000">
        <w:rPr>
          <w:sz w:val="22"/>
          <w:szCs w:val="22"/>
          <w:rtl w:val="0"/>
        </w:rPr>
        <w:t xml:space="preserve">El </w:t>
      </w:r>
      <w:r w:rsidDel="00000000" w:rsidR="00000000" w:rsidRPr="00000000">
        <w:rPr>
          <w:b w:val="1"/>
          <w:sz w:val="22"/>
          <w:szCs w:val="22"/>
          <w:rtl w:val="0"/>
        </w:rPr>
        <w:t xml:space="preserve">precio promedio del metro cuadrado </w:t>
      </w:r>
      <w:r w:rsidDel="00000000" w:rsidR="00000000" w:rsidRPr="00000000">
        <w:rPr>
          <w:sz w:val="22"/>
          <w:szCs w:val="22"/>
          <w:rtl w:val="0"/>
        </w:rPr>
        <w:t xml:space="preserve">de </w:t>
      </w:r>
      <w:r w:rsidDel="00000000" w:rsidR="00000000" w:rsidRPr="00000000">
        <w:rPr>
          <w:rtl w:val="0"/>
        </w:rPr>
        <w:t xml:space="preserve">los departamentos</w:t>
      </w:r>
      <w:r w:rsidDel="00000000" w:rsidR="00000000" w:rsidRPr="00000000">
        <w:rPr>
          <w:sz w:val="22"/>
          <w:szCs w:val="22"/>
          <w:rtl w:val="0"/>
        </w:rPr>
        <w:t xml:space="preserve"> en la capital </w:t>
      </w:r>
      <w:r w:rsidDel="00000000" w:rsidR="00000000" w:rsidRPr="00000000">
        <w:rPr>
          <w:rtl w:val="0"/>
        </w:rPr>
        <w:t xml:space="preserve">chilena</w:t>
      </w:r>
      <w:r w:rsidDel="00000000" w:rsidR="00000000" w:rsidRPr="00000000">
        <w:rPr>
          <w:sz w:val="22"/>
          <w:szCs w:val="22"/>
          <w:rtl w:val="0"/>
        </w:rPr>
        <w:t xml:space="preserve"> alcanzó los UF </w:t>
      </w:r>
      <w:r w:rsidDel="00000000" w:rsidR="00000000" w:rsidRPr="00000000">
        <w:rPr>
          <w:rtl w:val="0"/>
        </w:rPr>
        <w:t xml:space="preserve">69.26.</w:t>
      </w:r>
      <w:r w:rsidDel="00000000" w:rsidR="00000000" w:rsidRPr="00000000">
        <w:rPr>
          <w:sz w:val="22"/>
          <w:szCs w:val="22"/>
          <w:rtl w:val="0"/>
        </w:rPr>
        <w:t xml:space="preserve"> </w:t>
      </w:r>
    </w:p>
    <w:p w:rsidR="00000000" w:rsidDel="00000000" w:rsidP="00000000" w:rsidRDefault="00000000" w:rsidRPr="00000000" w14:paraId="00000007">
      <w:pPr>
        <w:rPr/>
      </w:pPr>
      <w:r w:rsidDel="00000000" w:rsidR="00000000" w:rsidRPr="00000000">
        <w:rPr>
          <w:sz w:val="22"/>
          <w:szCs w:val="22"/>
          <w:rtl w:val="0"/>
        </w:rPr>
        <w:t xml:space="preserve">L</w:t>
      </w:r>
      <w:r w:rsidDel="00000000" w:rsidR="00000000" w:rsidRPr="00000000">
        <w:rPr>
          <w:rtl w:val="0"/>
        </w:rPr>
        <w:t xml:space="preserve">a variación interanual marca que hay un crecimiento del  2,82% del valor comercial respecto al mismo mes del año pasado.</w:t>
      </w:r>
    </w:p>
    <w:p w:rsidR="00000000" w:rsidDel="00000000" w:rsidP="00000000" w:rsidRDefault="00000000" w:rsidRPr="00000000" w14:paraId="00000008">
      <w:pPr>
        <w:jc w:val="center"/>
        <w:rPr/>
      </w:pPr>
      <w:r w:rsidDel="00000000" w:rsidR="00000000" w:rsidRPr="00000000">
        <w:rPr/>
        <w:drawing>
          <wp:inline distB="114300" distT="114300" distL="114300" distR="114300">
            <wp:extent cx="3910013" cy="2383394"/>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910013" cy="238339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b w:val="1"/>
          <w:sz w:val="26"/>
          <w:szCs w:val="26"/>
        </w:rPr>
      </w:pPr>
      <w:hyperlink r:id="rId8">
        <w:r w:rsidDel="00000000" w:rsidR="00000000" w:rsidRPr="00000000">
          <w:rPr>
            <w:color w:val="1155cc"/>
            <w:sz w:val="20"/>
            <w:szCs w:val="20"/>
            <w:u w:val="single"/>
            <w:rtl w:val="0"/>
          </w:rPr>
          <w:t xml:space="preserve">🔗 Mira el gráfico en pantalla completa, aquí.</w:t>
        </w:r>
      </w:hyperlink>
      <w:r w:rsidDel="00000000" w:rsidR="00000000" w:rsidRPr="00000000">
        <w:rPr>
          <w:rtl w:val="0"/>
        </w:rPr>
      </w:r>
    </w:p>
    <w:p w:rsidR="00000000" w:rsidDel="00000000" w:rsidP="00000000" w:rsidRDefault="00000000" w:rsidRPr="00000000" w14:paraId="0000000A">
      <w:pPr>
        <w:spacing w:after="160" w:before="240" w:line="276" w:lineRule="auto"/>
        <w:ind w:right="-421"/>
        <w:rPr>
          <w:b w:val="1"/>
          <w:sz w:val="28"/>
          <w:szCs w:val="28"/>
        </w:rPr>
      </w:pPr>
      <w:r w:rsidDel="00000000" w:rsidR="00000000" w:rsidRPr="00000000">
        <w:rPr>
          <w:b w:val="1"/>
          <w:color w:val="ffffff"/>
          <w:sz w:val="20"/>
          <w:szCs w:val="20"/>
          <w:highlight w:val="black"/>
          <w:rtl w:val="0"/>
        </w:rPr>
        <w:t xml:space="preserve">&lt;/&gt; </w:t>
      </w:r>
      <w:r w:rsidDel="00000000" w:rsidR="00000000" w:rsidRPr="00000000">
        <w:rPr>
          <w:b w:val="1"/>
          <w:color w:val="ee4252"/>
          <w:sz w:val="20"/>
          <w:szCs w:val="20"/>
          <w:highlight w:val="white"/>
          <w:rtl w:val="0"/>
        </w:rPr>
        <w:t xml:space="preserve"> </w:t>
      </w:r>
      <w:r w:rsidDel="00000000" w:rsidR="00000000" w:rsidRPr="00000000">
        <w:rPr>
          <w:b w:val="1"/>
          <w:color w:val="ee4252"/>
          <w:sz w:val="20"/>
          <w:szCs w:val="20"/>
          <w:rtl w:val="0"/>
        </w:rPr>
        <w:t xml:space="preserve">EMBED CODE - INSERTA EL GRÁFICO EN TU NOTA:</w:t>
      </w:r>
      <w:r w:rsidDel="00000000" w:rsidR="00000000" w:rsidRPr="00000000">
        <w:rPr>
          <w:rtl w:val="0"/>
        </w:rPr>
      </w:r>
    </w:p>
    <w:tbl>
      <w:tblPr>
        <w:tblStyle w:val="Table1"/>
        <w:jc w:val="left"/>
        <w:tblInd w:w="100.0" w:type="pc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Consolas" w:cs="Consolas" w:eastAsia="Consolas" w:hAnsi="Consolas"/>
                <w:color w:val="ffffff"/>
                <w:sz w:val="16"/>
                <w:szCs w:val="16"/>
                <w:shd w:fill="002451" w:val="clear"/>
                <w:rtl w:val="0"/>
              </w:rPr>
              <w:t xml:space="preserve">&lt;div style=</w:t>
            </w:r>
            <w:r w:rsidDel="00000000" w:rsidR="00000000" w:rsidRPr="00000000">
              <w:rPr>
                <w:rFonts w:ascii="Consolas" w:cs="Consolas" w:eastAsia="Consolas" w:hAnsi="Consolas"/>
                <w:color w:val="d1f1a9"/>
                <w:sz w:val="16"/>
                <w:szCs w:val="16"/>
                <w:shd w:fill="002451" w:val="clear"/>
                <w:rtl w:val="0"/>
              </w:rPr>
              <w:t xml:space="preserve">"position: relative; overflow: hidden; padding-top: 320%;"</w:t>
            </w:r>
            <w:r w:rsidDel="00000000" w:rsidR="00000000" w:rsidRPr="00000000">
              <w:rPr>
                <w:rFonts w:ascii="Consolas" w:cs="Consolas" w:eastAsia="Consolas" w:hAnsi="Consolas"/>
                <w:color w:val="ffffff"/>
                <w:sz w:val="16"/>
                <w:szCs w:val="16"/>
                <w:shd w:fill="002451" w:val="clear"/>
                <w:rtl w:val="0"/>
              </w:rPr>
              <w:t xml:space="preserve">&gt;</w:t>
            </w:r>
            <w:r w:rsidDel="00000000" w:rsidR="00000000" w:rsidRPr="00000000">
              <w:rPr>
                <w:rFonts w:ascii="Consolas" w:cs="Consolas" w:eastAsia="Consolas" w:hAnsi="Consolas"/>
                <w:color w:val="ff9da4"/>
                <w:sz w:val="16"/>
                <w:szCs w:val="16"/>
                <w:shd w:fill="002451" w:val="clear"/>
                <w:rtl w:val="0"/>
              </w:rPr>
              <w:t xml:space="preserve">&lt;iframe style=</w:t>
            </w:r>
            <w:r w:rsidDel="00000000" w:rsidR="00000000" w:rsidRPr="00000000">
              <w:rPr>
                <w:rFonts w:ascii="Consolas" w:cs="Consolas" w:eastAsia="Consolas" w:hAnsi="Consolas"/>
                <w:color w:val="d1f1a9"/>
                <w:sz w:val="16"/>
                <w:szCs w:val="16"/>
                <w:shd w:fill="002451" w:val="clear"/>
                <w:rtl w:val="0"/>
              </w:rPr>
              <w:t xml:space="preserve">"position: absolute; top: 0; left: 0; width: 100%; height: 100%; border: 0;"</w:t>
            </w:r>
            <w:r w:rsidDel="00000000" w:rsidR="00000000" w:rsidRPr="00000000">
              <w:rPr>
                <w:rFonts w:ascii="Consolas" w:cs="Consolas" w:eastAsia="Consolas" w:hAnsi="Consolas"/>
                <w:color w:val="ff9da4"/>
                <w:sz w:val="16"/>
                <w:szCs w:val="16"/>
                <w:shd w:fill="002451" w:val="clear"/>
                <w:rtl w:val="0"/>
              </w:rPr>
              <w:t xml:space="preserve"> src=</w:t>
            </w:r>
            <w:r w:rsidDel="00000000" w:rsidR="00000000" w:rsidRPr="00000000">
              <w:rPr>
                <w:rFonts w:ascii="Consolas" w:cs="Consolas" w:eastAsia="Consolas" w:hAnsi="Consolas"/>
                <w:color w:val="d1f1a9"/>
                <w:sz w:val="16"/>
                <w:szCs w:val="16"/>
                <w:shd w:fill="002451" w:val="clear"/>
                <w:rtl w:val="0"/>
              </w:rPr>
              <w:t xml:space="preserve">"https://bit.ly/3F83gVr"</w:t>
            </w:r>
            <w:r w:rsidDel="00000000" w:rsidR="00000000" w:rsidRPr="00000000">
              <w:rPr>
                <w:rFonts w:ascii="Consolas" w:cs="Consolas" w:eastAsia="Consolas" w:hAnsi="Consolas"/>
                <w:color w:val="ff9da4"/>
                <w:sz w:val="16"/>
                <w:szCs w:val="16"/>
                <w:shd w:fill="002451" w:val="clear"/>
                <w:rtl w:val="0"/>
              </w:rPr>
              <w:t xml:space="preserve"> width=</w:t>
            </w:r>
            <w:r w:rsidDel="00000000" w:rsidR="00000000" w:rsidRPr="00000000">
              <w:rPr>
                <w:rFonts w:ascii="Consolas" w:cs="Consolas" w:eastAsia="Consolas" w:hAnsi="Consolas"/>
                <w:color w:val="d1f1a9"/>
                <w:sz w:val="16"/>
                <w:szCs w:val="16"/>
                <w:shd w:fill="002451" w:val="clear"/>
                <w:rtl w:val="0"/>
              </w:rPr>
              <w:t xml:space="preserve">"300"</w:t>
            </w:r>
            <w:r w:rsidDel="00000000" w:rsidR="00000000" w:rsidRPr="00000000">
              <w:rPr>
                <w:rFonts w:ascii="Consolas" w:cs="Consolas" w:eastAsia="Consolas" w:hAnsi="Consolas"/>
                <w:color w:val="ff9da4"/>
                <w:sz w:val="16"/>
                <w:szCs w:val="16"/>
                <w:shd w:fill="002451" w:val="clear"/>
                <w:rtl w:val="0"/>
              </w:rPr>
              <w:t xml:space="preserve"> height=</w:t>
            </w:r>
            <w:r w:rsidDel="00000000" w:rsidR="00000000" w:rsidRPr="00000000">
              <w:rPr>
                <w:rFonts w:ascii="Consolas" w:cs="Consolas" w:eastAsia="Consolas" w:hAnsi="Consolas"/>
                <w:color w:val="d1f1a9"/>
                <w:sz w:val="16"/>
                <w:szCs w:val="16"/>
                <w:shd w:fill="002451" w:val="clear"/>
                <w:rtl w:val="0"/>
              </w:rPr>
              <w:t xml:space="preserve">"150"</w:t>
            </w:r>
            <w:r w:rsidDel="00000000" w:rsidR="00000000" w:rsidRPr="00000000">
              <w:rPr>
                <w:rFonts w:ascii="Consolas" w:cs="Consolas" w:eastAsia="Consolas" w:hAnsi="Consolas"/>
                <w:color w:val="ff9da4"/>
                <w:sz w:val="16"/>
                <w:szCs w:val="16"/>
                <w:shd w:fill="002451" w:val="clear"/>
                <w:rtl w:val="0"/>
              </w:rPr>
              <w:t xml:space="preserve">&gt;&lt;/iframe&gt;&lt;div&gt;&lt;p style=</w:t>
            </w:r>
            <w:r w:rsidDel="00000000" w:rsidR="00000000" w:rsidRPr="00000000">
              <w:rPr>
                <w:rFonts w:ascii="Consolas" w:cs="Consolas" w:eastAsia="Consolas" w:hAnsi="Consolas"/>
                <w:color w:val="d1f1a9"/>
                <w:sz w:val="16"/>
                <w:szCs w:val="16"/>
                <w:shd w:fill="002451" w:val="clear"/>
                <w:rtl w:val="0"/>
              </w:rPr>
              <w:t xml:space="preserve">"margin:0"</w:t>
            </w:r>
            <w:r w:rsidDel="00000000" w:rsidR="00000000" w:rsidRPr="00000000">
              <w:rPr>
                <w:rFonts w:ascii="Consolas" w:cs="Consolas" w:eastAsia="Consolas" w:hAnsi="Consolas"/>
                <w:color w:val="ff9da4"/>
                <w:sz w:val="16"/>
                <w:szCs w:val="16"/>
                <w:shd w:fill="002451" w:val="clear"/>
                <w:rtl w:val="0"/>
              </w:rPr>
              <w:t xml:space="preserve">&gt;&lt;a href=</w:t>
            </w:r>
            <w:r w:rsidDel="00000000" w:rsidR="00000000" w:rsidRPr="00000000">
              <w:rPr>
                <w:rFonts w:ascii="Consolas" w:cs="Consolas" w:eastAsia="Consolas" w:hAnsi="Consolas"/>
                <w:color w:val="d1f1a9"/>
                <w:sz w:val="16"/>
                <w:szCs w:val="16"/>
                <w:shd w:fill="002451" w:val="clear"/>
                <w:rtl w:val="0"/>
              </w:rPr>
              <w:t xml:space="preserve">"https://casas.trovit.cl"</w:t>
            </w:r>
            <w:r w:rsidDel="00000000" w:rsidR="00000000" w:rsidRPr="00000000">
              <w:rPr>
                <w:rFonts w:ascii="Consolas" w:cs="Consolas" w:eastAsia="Consolas" w:hAnsi="Consolas"/>
                <w:color w:val="ff9da4"/>
                <w:sz w:val="16"/>
                <w:szCs w:val="16"/>
                <w:shd w:fill="002451" w:val="clear"/>
                <w:rtl w:val="0"/>
              </w:rPr>
              <w:t xml:space="preserve"> style=</w:t>
            </w:r>
            <w:r w:rsidDel="00000000" w:rsidR="00000000" w:rsidRPr="00000000">
              <w:rPr>
                <w:rFonts w:ascii="Consolas" w:cs="Consolas" w:eastAsia="Consolas" w:hAnsi="Consolas"/>
                <w:color w:val="d1f1a9"/>
                <w:sz w:val="16"/>
                <w:szCs w:val="16"/>
                <w:shd w:fill="002451" w:val="clear"/>
                <w:rtl w:val="0"/>
              </w:rPr>
              <w:t xml:space="preserve">"color: #a4a1a1;text-decoration:none;font-size:10px; float:right"</w:t>
            </w:r>
            <w:r w:rsidDel="00000000" w:rsidR="00000000" w:rsidRPr="00000000">
              <w:rPr>
                <w:rFonts w:ascii="Consolas" w:cs="Consolas" w:eastAsia="Consolas" w:hAnsi="Consolas"/>
                <w:color w:val="ff9da4"/>
                <w:sz w:val="16"/>
                <w:szCs w:val="16"/>
                <w:shd w:fill="002451" w:val="clear"/>
                <w:rtl w:val="0"/>
              </w:rPr>
              <w:t xml:space="preserve">&gt;</w:t>
            </w:r>
            <w:r w:rsidDel="00000000" w:rsidR="00000000" w:rsidRPr="00000000">
              <w:rPr>
                <w:rFonts w:ascii="Consolas" w:cs="Consolas" w:eastAsia="Consolas" w:hAnsi="Consolas"/>
                <w:color w:val="ffffff"/>
                <w:sz w:val="16"/>
                <w:szCs w:val="16"/>
                <w:shd w:fill="002451" w:val="clear"/>
                <w:rtl w:val="0"/>
              </w:rPr>
              <w:t xml:space="preserve">Fuente:Trovit</w:t>
            </w:r>
            <w:r w:rsidDel="00000000" w:rsidR="00000000" w:rsidRPr="00000000">
              <w:rPr>
                <w:rFonts w:ascii="Consolas" w:cs="Consolas" w:eastAsia="Consolas" w:hAnsi="Consolas"/>
                <w:color w:val="ff9da4"/>
                <w:sz w:val="16"/>
                <w:szCs w:val="16"/>
                <w:shd w:fill="002451" w:val="clear"/>
                <w:rtl w:val="0"/>
              </w:rPr>
              <w:t xml:space="preserve">&lt;/a&gt;&lt;/p&gt;&lt;/div&gt;&lt;/div&gt;</w:t>
            </w:r>
            <w:r w:rsidDel="00000000" w:rsidR="00000000" w:rsidRPr="00000000">
              <w:rPr>
                <w:rtl w:val="0"/>
              </w:rPr>
            </w:r>
          </w:p>
        </w:tc>
      </w:tr>
    </w:tbl>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La tendencia durante 2022</w:t>
      </w:r>
    </w:p>
    <w:p w:rsidR="00000000" w:rsidDel="00000000" w:rsidP="00000000" w:rsidRDefault="00000000" w:rsidRPr="00000000" w14:paraId="0000000E">
      <w:pPr>
        <w:rPr>
          <w:i w:val="1"/>
        </w:rPr>
      </w:pPr>
      <w:r w:rsidDel="00000000" w:rsidR="00000000" w:rsidRPr="00000000">
        <w:rPr>
          <w:rtl w:val="0"/>
        </w:rPr>
        <w:t xml:space="preserve">En lo que va 2022, la única</w:t>
      </w:r>
      <w:r w:rsidDel="00000000" w:rsidR="00000000" w:rsidRPr="00000000">
        <w:rPr>
          <w:rtl w:val="0"/>
        </w:rPr>
        <w:t xml:space="preserve"> caída en el nivel de precios se presentó en febrero, fue además la primera caída tras cinco meses consecutivos de crecimiento (desde septiembre de 2021).</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Además de la reacción del mercado ante su propia dinámica, por detrás del incremento del precio hay varias causas. Una de ellas tiene que ver con el</w:t>
      </w:r>
      <w:r w:rsidDel="00000000" w:rsidR="00000000" w:rsidRPr="00000000">
        <w:rPr>
          <w:b w:val="1"/>
          <w:rtl w:val="0"/>
        </w:rPr>
        <w:t xml:space="preserve"> incremento de precios en materias primas </w:t>
      </w:r>
      <w:r w:rsidDel="00000000" w:rsidR="00000000" w:rsidRPr="00000000">
        <w:rPr>
          <w:rtl w:val="0"/>
        </w:rPr>
        <w:t xml:space="preserve">y en productos necesarios para la construcción. “La palabra ‘recesión’ se escucha cada vez más de expertos financieros. Hay una combinación de causas y efectos que frenan al mercado de venta de viviendas, uno de ellos es el incremento en tasas de interés para créditos es una muestra del intento por frenar la subida de precios de los bienes”, explica María José Pinto, </w:t>
      </w:r>
      <w:r w:rsidDel="00000000" w:rsidR="00000000" w:rsidRPr="00000000">
        <w:rPr>
          <w:i w:val="1"/>
          <w:rtl w:val="0"/>
        </w:rPr>
        <w:t xml:space="preserve">H</w:t>
      </w:r>
      <w:r w:rsidDel="00000000" w:rsidR="00000000" w:rsidRPr="00000000">
        <w:rPr>
          <w:i w:val="1"/>
          <w:rtl w:val="0"/>
        </w:rPr>
        <w:t xml:space="preserve">ead of Customer Success</w:t>
      </w:r>
      <w:r w:rsidDel="00000000" w:rsidR="00000000" w:rsidRPr="00000000">
        <w:rPr>
          <w:rtl w:val="0"/>
        </w:rPr>
        <w:t xml:space="preserve"> de Trovit en Chile. </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Por comuna</w:t>
      </w:r>
    </w:p>
    <w:p w:rsidR="00000000" w:rsidDel="00000000" w:rsidP="00000000" w:rsidRDefault="00000000" w:rsidRPr="00000000" w14:paraId="00000011">
      <w:pPr>
        <w:rPr/>
      </w:pPr>
      <w:r w:rsidDel="00000000" w:rsidR="00000000" w:rsidRPr="00000000">
        <w:rPr>
          <w:rtl w:val="0"/>
        </w:rPr>
        <w:t xml:space="preserve">El reporte de precios presentado por Trovit incluye información de precios detallada en la capital. De acuerdo con los datos recopilados durante el mes de septiembre, el </w:t>
      </w:r>
      <w:r w:rsidDel="00000000" w:rsidR="00000000" w:rsidRPr="00000000">
        <w:rPr>
          <w:b w:val="1"/>
          <w:rtl w:val="0"/>
        </w:rPr>
        <w:t xml:space="preserve">top 5 de las comunas más exclusivas está liderado por Vitacura </w:t>
      </w:r>
      <w:r w:rsidDel="00000000" w:rsidR="00000000" w:rsidRPr="00000000">
        <w:rPr>
          <w:rtl w:val="0"/>
        </w:rPr>
        <w:t xml:space="preserve">con un precio promedio de UF 92.  Seguido, está Lo Barnechea, con un precio de UF 89 y Las Condes, donde el precio promedio es de UF 88.</w:t>
      </w:r>
    </w:p>
    <w:p w:rsidR="00000000" w:rsidDel="00000000" w:rsidP="00000000" w:rsidRDefault="00000000" w:rsidRPr="00000000" w14:paraId="00000012">
      <w:pPr>
        <w:rPr/>
      </w:pPr>
      <w:r w:rsidDel="00000000" w:rsidR="00000000" w:rsidRPr="00000000">
        <w:rPr>
          <w:rtl w:val="0"/>
        </w:rPr>
        <w:t xml:space="preserve">Mientras tanto, en las comunas más económicas para comprar vivienda en Santiago se encuentran Cerrillos, Conchalí, Lo Prado y El Bosque, en donde se hay viviendas a menos de los UF 44.</w:t>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Un reporte mensual para tomar mejores decisiones</w:t>
      </w:r>
    </w:p>
    <w:p w:rsidR="00000000" w:rsidDel="00000000" w:rsidP="00000000" w:rsidRDefault="00000000" w:rsidRPr="00000000" w14:paraId="00000014">
      <w:pPr>
        <w:rPr>
          <w:i w:val="1"/>
        </w:rPr>
      </w:pPr>
      <w:r w:rsidDel="00000000" w:rsidR="00000000" w:rsidRPr="00000000">
        <w:rPr>
          <w:rtl w:val="0"/>
        </w:rPr>
        <w:t xml:space="preserve">Trovit</w:t>
      </w:r>
      <w:r w:rsidDel="00000000" w:rsidR="00000000" w:rsidRPr="00000000">
        <w:rPr>
          <w:rtl w:val="0"/>
        </w:rPr>
        <w:t xml:space="preserve"> ha trabajado en la metodología y en la estructura para recopilar datos durante los últimos seis meses. El reporte de precios será publicado en los primeros días de cada mes en su blog</w:t>
      </w:r>
      <w:r w:rsidDel="00000000" w:rsidR="00000000" w:rsidRPr="00000000">
        <w:rPr>
          <w:rtl w:val="0"/>
        </w:rPr>
        <w:t xml:space="preserve">. </w:t>
      </w:r>
      <w:r w:rsidDel="00000000" w:rsidR="00000000" w:rsidRPr="00000000">
        <w:rPr>
          <w:i w:val="1"/>
          <w:rtl w:val="0"/>
        </w:rPr>
        <w:t xml:space="preserve">“El objetivo es que las personas tengan mejor información al alcance de su mano durante el proceso de compra de una vivienda”, agrega Pinto.</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El informe considera todos los anuncios disponibles durante el mes analizado en venta. Solo se toman en cuenta departamentos en venta de 2 y 3 habitaciones. Se realiza una limpieza de los datos para descartar valores atípicos. El reporte recopila datos desde enero de 2019. Adicionalmente, son tomados más de 24 mil anuncios por mes.</w:t>
      </w:r>
      <w:r w:rsidDel="00000000" w:rsidR="00000000" w:rsidRPr="00000000">
        <w:br w:type="page"/>
      </w: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Acerca de </w:t>
      </w:r>
      <w:r w:rsidDel="00000000" w:rsidR="00000000" w:rsidRPr="00000000">
        <w:rPr>
          <w:b w:val="1"/>
          <w:rtl w:val="0"/>
        </w:rPr>
        <w:t xml:space="preserve">Trovit</w:t>
      </w:r>
    </w:p>
    <w:p w:rsidR="00000000" w:rsidDel="00000000" w:rsidP="00000000" w:rsidRDefault="00000000" w:rsidRPr="00000000" w14:paraId="00000017">
      <w:pPr>
        <w:rPr/>
      </w:pPr>
      <w:r w:rsidDel="00000000" w:rsidR="00000000" w:rsidRPr="00000000">
        <w:rPr>
          <w:rtl w:val="0"/>
        </w:rPr>
        <w:t xml:space="preserve">Trovit es el portal global de venta y alquiler de inmuebles, te muestra todas las viviendas en arriendo y venta publicadas en miles de webs distintas en una sola página. De esta manera, en un único lugar, encontrarás la casa de tus sueños, por muy escondida que esté. Desde 2014 forma parte de LIFULL Connect, el grupo global de portales digitales que ayuda a las personas a tomar algunas de las decisiones más importantes de su vida. Trovit se encuentra en más de 60 países del mundo.</w:t>
      </w:r>
    </w:p>
    <w:p w:rsidR="00000000" w:rsidDel="00000000" w:rsidP="00000000" w:rsidRDefault="00000000" w:rsidRPr="00000000" w14:paraId="00000018">
      <w:pPr>
        <w:spacing w:after="0" w:line="276" w:lineRule="auto"/>
        <w:ind w:left="720" w:firstLine="0"/>
        <w:rPr>
          <w:rFonts w:ascii="Calibri" w:cs="Calibri" w:eastAsia="Calibri" w:hAnsi="Calibri"/>
        </w:rPr>
      </w:pPr>
      <w:r w:rsidDel="00000000" w:rsidR="00000000" w:rsidRPr="00000000">
        <w:rPr>
          <w:rtl w:val="0"/>
        </w:rPr>
      </w:r>
    </w:p>
    <w:tbl>
      <w:tblPr>
        <w:tblStyle w:val="Table2"/>
        <w:tblW w:w="7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170" w:hRule="atLeast"/>
          <w:tblHeader w:val="0"/>
        </w:trPr>
        <w:tc>
          <w:tcPr>
            <w:tcBorders>
              <w:right w:color="000000" w:space="0" w:sz="4" w:val="single"/>
            </w:tcBorders>
          </w:tcPr>
          <w:p w:rsidR="00000000" w:rsidDel="00000000" w:rsidP="00000000" w:rsidRDefault="00000000" w:rsidRPr="00000000" w14:paraId="00000019">
            <w:pPr>
              <w:spacing w:after="0" w:line="276" w:lineRule="auto"/>
              <w:jc w:val="right"/>
              <w:rPr>
                <w:b w:val="1"/>
                <w:sz w:val="20"/>
                <w:szCs w:val="20"/>
              </w:rPr>
            </w:pPr>
            <w:r w:rsidDel="00000000" w:rsidR="00000000" w:rsidRPr="00000000">
              <w:rPr>
                <w:b w:val="1"/>
                <w:sz w:val="20"/>
                <w:szCs w:val="20"/>
                <w:rtl w:val="0"/>
              </w:rPr>
              <w:t xml:space="preserve">Contacto de prensa</w:t>
            </w:r>
          </w:p>
          <w:p w:rsidR="00000000" w:rsidDel="00000000" w:rsidP="00000000" w:rsidRDefault="00000000" w:rsidRPr="00000000" w14:paraId="0000001A">
            <w:pPr>
              <w:spacing w:after="0" w:line="276" w:lineRule="auto"/>
              <w:jc w:val="right"/>
              <w:rPr>
                <w:rFonts w:ascii="Calibri" w:cs="Calibri" w:eastAsia="Calibri" w:hAnsi="Calibri"/>
                <w:b w:val="1"/>
                <w:sz w:val="20"/>
                <w:szCs w:val="20"/>
              </w:rPr>
            </w:pPr>
            <w:r w:rsidDel="00000000" w:rsidR="00000000" w:rsidRPr="00000000">
              <w:rPr>
                <w:rFonts w:ascii="Arial" w:cs="Arial" w:eastAsia="Arial" w:hAnsi="Arial"/>
              </w:rPr>
              <w:drawing>
                <wp:inline distB="114300" distT="114300" distL="114300" distR="114300">
                  <wp:extent cx="658735" cy="252413"/>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58735" cy="252413"/>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1B">
            <w:pPr>
              <w:spacing w:after="0" w:line="276" w:lineRule="auto"/>
              <w:rPr>
                <w:b w:val="1"/>
                <w:sz w:val="20"/>
                <w:szCs w:val="20"/>
              </w:rPr>
            </w:pPr>
            <w:r w:rsidDel="00000000" w:rsidR="00000000" w:rsidRPr="00000000">
              <w:rPr>
                <w:b w:val="1"/>
                <w:sz w:val="20"/>
                <w:szCs w:val="20"/>
                <w:rtl w:val="0"/>
              </w:rPr>
              <w:t xml:space="preserve">Ricardo Meneses Flores</w:t>
            </w:r>
          </w:p>
          <w:p w:rsidR="00000000" w:rsidDel="00000000" w:rsidP="00000000" w:rsidRDefault="00000000" w:rsidRPr="00000000" w14:paraId="0000001C">
            <w:pPr>
              <w:spacing w:after="0" w:line="276" w:lineRule="auto"/>
              <w:rPr>
                <w:sz w:val="20"/>
                <w:szCs w:val="20"/>
              </w:rPr>
            </w:pPr>
            <w:r w:rsidDel="00000000" w:rsidR="00000000" w:rsidRPr="00000000">
              <w:rPr>
                <w:sz w:val="20"/>
                <w:szCs w:val="20"/>
                <w:rtl w:val="0"/>
              </w:rPr>
              <w:t xml:space="preserve">Data Journalist Manager</w:t>
            </w:r>
          </w:p>
          <w:p w:rsidR="00000000" w:rsidDel="00000000" w:rsidP="00000000" w:rsidRDefault="00000000" w:rsidRPr="00000000" w14:paraId="0000001D">
            <w:pPr>
              <w:spacing w:after="0" w:line="276" w:lineRule="auto"/>
              <w:rPr>
                <w:sz w:val="20"/>
                <w:szCs w:val="20"/>
              </w:rPr>
            </w:pPr>
            <w:r w:rsidDel="00000000" w:rsidR="00000000" w:rsidRPr="00000000">
              <w:rPr>
                <w:sz w:val="20"/>
                <w:szCs w:val="20"/>
                <w:rtl w:val="0"/>
              </w:rPr>
              <w:t xml:space="preserve">prensa@lifullconnect.com</w:t>
            </w:r>
          </w:p>
          <w:p w:rsidR="00000000" w:rsidDel="00000000" w:rsidP="00000000" w:rsidRDefault="00000000" w:rsidRPr="00000000" w14:paraId="0000001E">
            <w:pPr>
              <w:spacing w:after="0" w:line="276" w:lineRule="auto"/>
              <w:rPr>
                <w:sz w:val="20"/>
                <w:szCs w:val="20"/>
              </w:rPr>
            </w:pPr>
            <w:r w:rsidDel="00000000" w:rsidR="00000000" w:rsidRPr="00000000">
              <w:rPr>
                <w:sz w:val="20"/>
                <w:szCs w:val="20"/>
                <w:rtl w:val="0"/>
              </w:rPr>
              <w:t xml:space="preserve">+593 994722408</w:t>
            </w:r>
          </w:p>
        </w:tc>
      </w:tr>
    </w:tbl>
    <w:p w:rsidR="00000000" w:rsidDel="00000000" w:rsidP="00000000" w:rsidRDefault="00000000" w:rsidRPr="00000000" w14:paraId="0000001F">
      <w:pPr>
        <w:spacing w:after="0" w:line="276" w:lineRule="auto"/>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0" w:type="defaul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Montserrat Light">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sz w:val="20"/>
        <w:szCs w:val="20"/>
        <w:rtl w:val="0"/>
      </w:rPr>
      <w:t xml:space="preserve"> de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1110425" cy="4143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0425" cy="414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w:cs="Montserrat" w:eastAsia="Montserrat" w:hAnsi="Montserrat"/>
      <w:b w:val="1"/>
      <w:color w:val="ff9900"/>
      <w:sz w:val="40"/>
      <w:szCs w:val="40"/>
    </w:rPr>
  </w:style>
  <w:style w:type="paragraph" w:styleId="Heading2">
    <w:name w:val="heading 2"/>
    <w:basedOn w:val="Normal"/>
    <w:next w:val="Normal"/>
    <w:pPr>
      <w:keepNext w:val="1"/>
      <w:keepLines w:val="1"/>
      <w:spacing w:after="120" w:before="360" w:lineRule="auto"/>
    </w:pPr>
    <w:rPr>
      <w:rFonts w:ascii="Montserrat SemiBold" w:cs="Montserrat SemiBold" w:eastAsia="Montserrat SemiBold" w:hAnsi="Montserrat SemiBold"/>
      <w:sz w:val="36"/>
      <w:szCs w:val="36"/>
    </w:rPr>
  </w:style>
  <w:style w:type="paragraph" w:styleId="Heading3">
    <w:name w:val="heading 3"/>
    <w:basedOn w:val="Normal"/>
    <w:next w:val="Normal"/>
    <w:pPr>
      <w:keepNext w:val="1"/>
      <w:keepLines w:val="1"/>
      <w:spacing w:after="80" w:before="320" w:lineRule="auto"/>
    </w:pPr>
    <w:rPr>
      <w:rFonts w:ascii="Montserrat Medium" w:cs="Montserrat Medium" w:eastAsia="Montserrat Medium" w:hAnsi="Montserrat Medium"/>
      <w:color w:val="ff9900"/>
      <w:sz w:val="32"/>
      <w:szCs w:val="32"/>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sz w:val="44"/>
      <w:szCs w:val="44"/>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casas.trovit.cl/" TargetMode="External"/><Relationship Id="rId7" Type="http://schemas.openxmlformats.org/officeDocument/2006/relationships/image" Target="media/image2.png"/><Relationship Id="rId8" Type="http://schemas.openxmlformats.org/officeDocument/2006/relationships/hyperlink" Target="https://blog.trovit.cl/indice-precios-viviendas-chile/reportes-inmobiliarios-santiago/reporte-mercado-inmobiliario-santiago-octubre-2022"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MontserratMedium-italic.ttf"/><Relationship Id="rId10" Type="http://schemas.openxmlformats.org/officeDocument/2006/relationships/font" Target="fonts/MontserratMedium-bold.ttf"/><Relationship Id="rId13" Type="http://schemas.openxmlformats.org/officeDocument/2006/relationships/font" Target="fonts/MontserratLight-regular.ttf"/><Relationship Id="rId12" Type="http://schemas.openxmlformats.org/officeDocument/2006/relationships/font" Target="fonts/MontserratMedium-boldItalic.ttf"/><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9" Type="http://schemas.openxmlformats.org/officeDocument/2006/relationships/font" Target="fonts/MontserratMedium-regular.ttf"/><Relationship Id="rId15" Type="http://schemas.openxmlformats.org/officeDocument/2006/relationships/font" Target="fonts/MontserratLight-italic.ttf"/><Relationship Id="rId14" Type="http://schemas.openxmlformats.org/officeDocument/2006/relationships/font" Target="fonts/MontserratLight-bold.ttf"/><Relationship Id="rId16" Type="http://schemas.openxmlformats.org/officeDocument/2006/relationships/font" Target="fonts/MontserratLight-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