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exdvtn38x0eu" w:id="0"/>
      <w:bookmarkEnd w:id="0"/>
      <w:r w:rsidDel="00000000" w:rsidR="00000000" w:rsidRPr="00000000">
        <w:rPr>
          <w:rtl w:val="0"/>
        </w:rPr>
        <w:t xml:space="preserve">¿Qué significa el cerro San Cristóbal para los precios de vivienda en Santiago?</w:t>
      </w:r>
    </w:p>
    <w:p w:rsidR="00000000" w:rsidDel="00000000" w:rsidP="00000000" w:rsidRDefault="00000000" w:rsidRPr="00000000" w14:paraId="00000002">
      <w:pPr>
        <w:spacing w:after="120" w:lineRule="auto"/>
        <w:jc w:val="both"/>
        <w:rPr/>
      </w:pPr>
      <w:r w:rsidDel="00000000" w:rsidR="00000000" w:rsidRPr="00000000">
        <w:rPr>
          <w:b w:val="1"/>
          <w:rtl w:val="0"/>
        </w:rPr>
        <w:t xml:space="preserve">9 de febrero</w:t>
      </w:r>
      <w:r w:rsidDel="00000000" w:rsidR="00000000" w:rsidRPr="00000000">
        <w:rPr>
          <w:b w:val="1"/>
          <w:rtl w:val="0"/>
        </w:rPr>
        <w:t xml:space="preserve"> de 2023, Santiago, Chile. </w:t>
      </w:r>
      <w:r w:rsidDel="00000000" w:rsidR="00000000" w:rsidRPr="00000000">
        <w:rPr>
          <w:rtl w:val="0"/>
        </w:rPr>
        <w:t xml:space="preserve">Ser vecino del </w:t>
      </w:r>
      <w:r w:rsidDel="00000000" w:rsidR="00000000" w:rsidRPr="00000000">
        <w:rPr>
          <w:rtl w:val="0"/>
        </w:rPr>
        <w:t xml:space="preserve">cerro</w:t>
      </w:r>
      <w:r w:rsidDel="00000000" w:rsidR="00000000" w:rsidRPr="00000000">
        <w:rPr>
          <w:rtl w:val="0"/>
        </w:rPr>
        <w:t xml:space="preserve"> San Cristóbal equivale a mayor o menor plusvalía, según el último informe presentado por </w:t>
      </w:r>
      <w:hyperlink r:id="rId6">
        <w:r w:rsidDel="00000000" w:rsidR="00000000" w:rsidRPr="00000000">
          <w:rPr>
            <w:color w:val="1155cc"/>
            <w:u w:val="single"/>
            <w:rtl w:val="0"/>
          </w:rPr>
          <w:t xml:space="preserve">Trovit</w:t>
        </w:r>
      </w:hyperlink>
      <w:r w:rsidDel="00000000" w:rsidR="00000000" w:rsidRPr="00000000">
        <w:rPr>
          <w:rtl w:val="0"/>
        </w:rPr>
        <w:t xml:space="preserve">, el portal global de búsqueda de inmuebles. La plataforma digital analizó el comportamiento de la oferta de propiedades alrededor de este monte y encontró que vivir cerca puede incrementar o reducir el precio de viviendas hasta un 15%.   </w:t>
      </w:r>
    </w:p>
    <w:p w:rsidR="00000000" w:rsidDel="00000000" w:rsidP="00000000" w:rsidRDefault="00000000" w:rsidRPr="00000000" w14:paraId="00000003">
      <w:pPr>
        <w:jc w:val="both"/>
        <w:rPr/>
      </w:pPr>
      <w:r w:rsidDel="00000000" w:rsidR="00000000" w:rsidRPr="00000000">
        <w:rPr>
          <w:rtl w:val="0"/>
        </w:rPr>
        <w:t xml:space="preserve">Los cerros tipo "isla" son territorios geográficos que rompen con el esquema urbano de una ciudad. El </w:t>
      </w:r>
      <w:r w:rsidDel="00000000" w:rsidR="00000000" w:rsidRPr="00000000">
        <w:rPr>
          <w:rtl w:val="0"/>
        </w:rPr>
        <w:t xml:space="preserve">cerro</w:t>
      </w:r>
      <w:r w:rsidDel="00000000" w:rsidR="00000000" w:rsidRPr="00000000">
        <w:rPr>
          <w:rtl w:val="0"/>
        </w:rPr>
        <w:t xml:space="preserve"> San Cristóbal, por ejemplo, tiene un papel importante como Parque Nacional a la vez que está rodeado de viviendas y varios tipos de propiedades.  </w:t>
      </w:r>
    </w:p>
    <w:p w:rsidR="00000000" w:rsidDel="00000000" w:rsidP="00000000" w:rsidRDefault="00000000" w:rsidRPr="00000000" w14:paraId="00000004">
      <w:pPr>
        <w:jc w:val="both"/>
        <w:rPr/>
      </w:pPr>
      <w:r w:rsidDel="00000000" w:rsidR="00000000" w:rsidRPr="00000000">
        <w:rPr>
          <w:rtl w:val="0"/>
        </w:rPr>
        <w:t xml:space="preserve">El siguiente mapa presenta las variables de altura, precio de inmuebles y variación porcentual:</w:t>
      </w:r>
    </w:p>
    <w:p w:rsidR="00000000" w:rsidDel="00000000" w:rsidP="00000000" w:rsidRDefault="00000000" w:rsidRPr="00000000" w14:paraId="00000005">
      <w:pPr>
        <w:jc w:val="center"/>
        <w:rPr/>
      </w:pPr>
      <w:r w:rsidDel="00000000" w:rsidR="00000000" w:rsidRPr="00000000">
        <w:rPr/>
        <w:drawing>
          <wp:inline distB="114300" distT="114300" distL="114300" distR="114300">
            <wp:extent cx="3352800" cy="240736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52800" cy="240736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hyperlink r:id="rId8">
        <w:r w:rsidDel="00000000" w:rsidR="00000000" w:rsidRPr="00000000">
          <w:rPr>
            <w:color w:val="1155cc"/>
            <w:u w:val="single"/>
            <w:rtl w:val="0"/>
          </w:rPr>
          <w:t xml:space="preserve">Ver el mapa</w:t>
        </w:r>
      </w:hyperlink>
      <w:r w:rsidDel="00000000" w:rsidR="00000000" w:rsidRPr="00000000">
        <w:rPr>
          <w:rtl w:val="0"/>
        </w:rPr>
        <w:t xml:space="preserve"> o </w:t>
      </w:r>
      <w:hyperlink r:id="rId9">
        <w:r w:rsidDel="00000000" w:rsidR="00000000" w:rsidRPr="00000000">
          <w:rPr>
            <w:color w:val="1155cc"/>
            <w:u w:val="single"/>
            <w:rtl w:val="0"/>
          </w:rPr>
          <w:t xml:space="preserve">Descarga el mapa en .png</w:t>
        </w:r>
      </w:hyperlink>
      <w:r w:rsidDel="00000000" w:rsidR="00000000" w:rsidRPr="00000000">
        <w:rPr>
          <w:rtl w:val="0"/>
        </w:rPr>
      </w:r>
    </w:p>
    <w:p w:rsidR="00000000" w:rsidDel="00000000" w:rsidP="00000000" w:rsidRDefault="00000000" w:rsidRPr="00000000" w14:paraId="00000007">
      <w:pPr>
        <w:spacing w:after="0" w:lineRule="auto"/>
        <w:jc w:val="left"/>
        <w:rPr>
          <w:rFonts w:ascii="Consolas" w:cs="Consolas" w:eastAsia="Consolas" w:hAnsi="Consolas"/>
          <w:color w:val="6d9eeb"/>
          <w:sz w:val="20"/>
          <w:szCs w:val="20"/>
        </w:rPr>
      </w:pPr>
      <w:r w:rsidDel="00000000" w:rsidR="00000000" w:rsidRPr="00000000">
        <w:rPr>
          <w:rFonts w:ascii="Consolas" w:cs="Consolas" w:eastAsia="Consolas" w:hAnsi="Consolas"/>
          <w:color w:val="6d9eeb"/>
          <w:sz w:val="20"/>
          <w:szCs w:val="20"/>
          <w:rtl w:val="0"/>
        </w:rPr>
        <w:t xml:space="preserve">Inserta el mapa en tu nota. [EMBED CODE-HTML]</w:t>
      </w:r>
    </w:p>
    <w:tbl>
      <w:tblPr>
        <w:tblStyle w:val="Table1"/>
        <w:jc w:val="left"/>
        <w:tblLayout w:type="fixed"/>
        <w:tblLook w:val="0600"/>
      </w:tblPr>
      <w:tblGrid>
        <w:gridCol w:w="9504"/>
        <w:tblGridChange w:id="0">
          <w:tblGrid>
            <w:gridCol w:w="9504"/>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&lt;iframe </w:t>
            </w:r>
            <w:r w:rsidDel="00000000" w:rsidR="00000000" w:rsidRPr="00000000">
              <w:rPr>
                <w:rFonts w:ascii="Consolas" w:cs="Consolas" w:eastAsia="Consolas" w:hAnsi="Consolas"/>
                <w:color w:val="ffeead"/>
                <w:sz w:val="16"/>
                <w:szCs w:val="16"/>
                <w:shd w:fill="002451" w:val="clear"/>
                <w:rtl w:val="0"/>
              </w:rPr>
              <w:t xml:space="preserve">width</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"100%"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height</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"400"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frameborder</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src</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"https://bit.ly/cerro-san-cristobal-precio-viviendas-2023-sgo"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allowfullscreen</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webkitallowfullscreen</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mozallowfullscreen</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oallowfullscreen</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msallowfullscreen</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t>
            </w:r>
            <w:r w:rsidDel="00000000" w:rsidR="00000000" w:rsidRPr="00000000">
              <w:rPr>
                <w:rFonts w:ascii="Consolas" w:cs="Consolas" w:eastAsia="Consolas" w:hAnsi="Consolas"/>
                <w:color w:val="ffffff"/>
                <w:sz w:val="16"/>
                <w:szCs w:val="16"/>
                <w:shd w:fill="002451" w:val="clear"/>
                <w:rtl w:val="0"/>
              </w:rPr>
              <w:t xml:space="preserve">&gt;&lt;/iframe&gt;</w:t>
            </w:r>
            <w:r w:rsidDel="00000000" w:rsidR="00000000" w:rsidRPr="00000000">
              <w:rPr>
                <w:rtl w:val="0"/>
              </w:rPr>
            </w:r>
          </w:p>
        </w:tc>
      </w:tr>
    </w:tbl>
    <w:p w:rsidR="00000000" w:rsidDel="00000000" w:rsidP="00000000" w:rsidRDefault="00000000" w:rsidRPr="00000000" w14:paraId="00000009">
      <w:pPr>
        <w:pStyle w:val="Heading2"/>
        <w:spacing w:before="200" w:lineRule="auto"/>
        <w:rPr/>
      </w:pPr>
      <w:bookmarkStart w:colFirst="0" w:colLast="0" w:name="_n0izgw5oqrn9" w:id="1"/>
      <w:bookmarkEnd w:id="1"/>
      <w:r w:rsidDel="00000000" w:rsidR="00000000" w:rsidRPr="00000000">
        <w:rPr>
          <w:rtl w:val="0"/>
        </w:rPr>
        <w:t xml:space="preserve">El precio a los pies del cerro</w:t>
      </w: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t xml:space="preserve">El cerro San Cristóbal está ubicado a 863 metros sobre el nivel del mar (msnm.), 300 metros más alto que el centro de la ciudad (Santiago Centro) y está rodeado por cuatro comunas: </w:t>
      </w:r>
      <w:r w:rsidDel="00000000" w:rsidR="00000000" w:rsidRPr="00000000">
        <w:rPr>
          <w:rtl w:val="0"/>
        </w:rPr>
        <w:t xml:space="preserve">Huechuraba, Recoleta, Providencia y Vitacura</w:t>
      </w:r>
      <w:r w:rsidDel="00000000" w:rsidR="00000000" w:rsidRPr="00000000">
        <w:rPr>
          <w:rtl w:val="0"/>
        </w:rPr>
        <w:t xml:space="preserve">. </w:t>
      </w:r>
      <w:hyperlink r:id="rId10">
        <w:r w:rsidDel="00000000" w:rsidR="00000000" w:rsidRPr="00000000">
          <w:rPr>
            <w:color w:val="1155cc"/>
            <w:u w:val="single"/>
            <w:rtl w:val="0"/>
          </w:rPr>
          <w:t xml:space="preserve">Trovit</w:t>
        </w:r>
      </w:hyperlink>
      <w:r w:rsidDel="00000000" w:rsidR="00000000" w:rsidRPr="00000000">
        <w:rPr>
          <w:rtl w:val="0"/>
        </w:rPr>
        <w:t xml:space="preserve"> comparó el precio del </w:t>
      </w:r>
      <w:r w:rsidDel="00000000" w:rsidR="00000000" w:rsidRPr="00000000">
        <w:rPr>
          <w:rtl w:val="0"/>
        </w:rPr>
        <w:t xml:space="preserve">m²</w:t>
      </w:r>
      <w:r w:rsidDel="00000000" w:rsidR="00000000" w:rsidRPr="00000000">
        <w:rPr>
          <w:rtl w:val="0"/>
        </w:rPr>
        <w:t xml:space="preserve"> a</w:t>
      </w:r>
      <w:r w:rsidDel="00000000" w:rsidR="00000000" w:rsidRPr="00000000">
        <w:rPr>
          <w:rtl w:val="0"/>
        </w:rPr>
        <w:t xml:space="preserve"> menos de 1 kilómetro a la redonda de la montaña con el precio promedio del </w:t>
      </w:r>
      <w:r w:rsidDel="00000000" w:rsidR="00000000" w:rsidRPr="00000000">
        <w:rPr>
          <w:rtl w:val="0"/>
        </w:rPr>
        <w:t xml:space="preserve">m²</w:t>
      </w:r>
      <w:r w:rsidDel="00000000" w:rsidR="00000000" w:rsidRPr="00000000">
        <w:rPr>
          <w:rtl w:val="0"/>
        </w:rPr>
        <w:t xml:space="preserve"> de</w:t>
      </w:r>
      <w:r w:rsidDel="00000000" w:rsidR="00000000" w:rsidRPr="00000000">
        <w:rPr>
          <w:rtl w:val="0"/>
        </w:rPr>
        <w:t xml:space="preserve"> las viviendas en cada comuna. </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En Ciudad Empresarial, la zona cercana al cerro en Huechuraba, el precio de una propiedad se incrementa 4,8% (67,3 UF), respecto al valor promedio de la comuna (64,2 UF </w:t>
      </w:r>
      <w:r w:rsidDel="00000000" w:rsidR="00000000" w:rsidRPr="00000000">
        <w:rPr>
          <w:rtl w:val="0"/>
        </w:rPr>
        <w:t xml:space="preserve">por m²</w:t>
      </w:r>
      <w:r w:rsidDel="00000000" w:rsidR="00000000" w:rsidRPr="00000000">
        <w:rPr>
          <w:rtl w:val="0"/>
        </w:rPr>
        <w:t xml:space="preserve">). Como su nombre lo indica, este barrio tiene una vocación ‘financiera’. Aquí trabajan aproximadamente 30 mil personas y su diseño reúne oficinas, espacios verdes, centros comerciales y viviendas, lo qué equivale a mayor plusvalía. </w:t>
      </w:r>
    </w:p>
    <w:p w:rsidR="00000000" w:rsidDel="00000000" w:rsidP="00000000" w:rsidRDefault="00000000" w:rsidRPr="00000000" w14:paraId="0000000C">
      <w:pPr>
        <w:rPr/>
      </w:pPr>
      <w:r w:rsidDel="00000000" w:rsidR="00000000" w:rsidRPr="00000000">
        <w:rPr>
          <w:rtl w:val="0"/>
        </w:rPr>
        <w:t xml:space="preserve">En Recoleta, donde el precio promedio del </w:t>
      </w:r>
      <w:r w:rsidDel="00000000" w:rsidR="00000000" w:rsidRPr="00000000">
        <w:rPr>
          <w:rtl w:val="0"/>
        </w:rPr>
        <w:t xml:space="preserve">m² es</w:t>
      </w:r>
      <w:r w:rsidDel="00000000" w:rsidR="00000000" w:rsidRPr="00000000">
        <w:rPr>
          <w:rtl w:val="0"/>
        </w:rPr>
        <w:t xml:space="preserve"> 51,1 UF, hay tres zonas cercanas al cerro que se valorizan por su ubicación. En los barrios Bellavista y Patronato (ubicados al sur del monte) el costo promedio de viviendas en venta es superior en 16,7% y 2,3%, respectivamente, a la media de la comuna. Los valores suben en ambos lugares por su vecindad al cerro, plazas y parques aledaños. Además, tienen influencia de sectores de Providencia y Santiago, donde las propiedades suelen ser más caras. La </w:t>
      </w:r>
      <w:r w:rsidDel="00000000" w:rsidR="00000000" w:rsidRPr="00000000">
        <w:rPr>
          <w:rtl w:val="0"/>
        </w:rPr>
        <w:t xml:space="preserve">tercera zona de Recoleta, denominada con el mismo nombre de la comuna, </w:t>
      </w:r>
      <w:r w:rsidDel="00000000" w:rsidR="00000000" w:rsidRPr="00000000">
        <w:rPr>
          <w:rtl w:val="0"/>
        </w:rPr>
        <w:t xml:space="preserve">abarca todo el costado occidental del San Cristóbal y las viviendas son 9,6% más caras. </w:t>
      </w:r>
    </w:p>
    <w:p w:rsidR="00000000" w:rsidDel="00000000" w:rsidP="00000000" w:rsidRDefault="00000000" w:rsidRPr="00000000" w14:paraId="0000000D">
      <w:pPr>
        <w:rPr/>
      </w:pPr>
      <w:r w:rsidDel="00000000" w:rsidR="00000000" w:rsidRPr="00000000">
        <w:rPr>
          <w:rtl w:val="0"/>
        </w:rPr>
        <w:t xml:space="preserve">En Providencia encontramos otra situación. Las propiedades del barrio Bellavista, el más próximo al cerro, pierden -15,3% (71,9 UF), respecto al promedio de la comuna (85,1 UF). </w:t>
      </w:r>
      <w:r w:rsidDel="00000000" w:rsidR="00000000" w:rsidRPr="00000000">
        <w:rPr>
          <w:rtl w:val="0"/>
        </w:rPr>
        <w:t xml:space="preserve">La atmósfera cultural y la antigüedad de los inmuebles son un factor decisivo para que esta variación se entienda.</w:t>
      </w:r>
      <w:r w:rsidDel="00000000" w:rsidR="00000000" w:rsidRPr="00000000">
        <w:rPr>
          <w:rtl w:val="0"/>
        </w:rPr>
        <w:t xml:space="preserve"> Comparado con el resto de Providencia, que tiene zonas residenciales exclusivas, Bellavista es un sector de universidades y presenta un precio menor a la media. La situación es diferente en Pedro Valdivia Norte y sus alrededores, donde el valor de las viviendas aumenta 2,6%. El tinte residencial, con casas y sin edificios en las manzanas cercanas a la entrada al parque, lo ubican como una zona cotizada para vivir. </w:t>
      </w:r>
    </w:p>
    <w:p w:rsidR="00000000" w:rsidDel="00000000" w:rsidP="00000000" w:rsidRDefault="00000000" w:rsidRPr="00000000" w14:paraId="0000000E">
      <w:pPr>
        <w:rPr/>
      </w:pPr>
      <w:r w:rsidDel="00000000" w:rsidR="00000000" w:rsidRPr="00000000">
        <w:rPr>
          <w:rtl w:val="0"/>
        </w:rPr>
        <w:t xml:space="preserve">En Vitacura, las propiedades alrededor del Parque Bicentenario, ubicado a los pies del cerro, se cotizan por 3.5% (100,2 UF) más que el promedio en la comuna (96,8 UF).  En este caso, el monte es parte del paisaje y la valorización se da por la oferta de centros deportivos, restaurantes y residencias exclusivas.</w:t>
      </w:r>
    </w:p>
    <w:p w:rsidR="00000000" w:rsidDel="00000000" w:rsidP="00000000" w:rsidRDefault="00000000" w:rsidRPr="00000000" w14:paraId="0000000F">
      <w:pPr>
        <w:pStyle w:val="Heading2"/>
        <w:spacing w:before="200" w:lineRule="auto"/>
        <w:rPr/>
      </w:pPr>
      <w:bookmarkStart w:colFirst="0" w:colLast="0" w:name="_b56pn5gaua00" w:id="2"/>
      <w:bookmarkEnd w:id="2"/>
      <w:r w:rsidDel="00000000" w:rsidR="00000000" w:rsidRPr="00000000">
        <w:rPr>
          <w:rtl w:val="0"/>
        </w:rPr>
        <w:t xml:space="preserve">Cercanos pero no vecinos</w:t>
      </w:r>
    </w:p>
    <w:p w:rsidR="00000000" w:rsidDel="00000000" w:rsidP="00000000" w:rsidRDefault="00000000" w:rsidRPr="00000000" w14:paraId="00000010">
      <w:pPr>
        <w:rPr/>
      </w:pPr>
      <w:r w:rsidDel="00000000" w:rsidR="00000000" w:rsidRPr="00000000">
        <w:rPr>
          <w:rtl w:val="0"/>
        </w:rPr>
        <w:t xml:space="preserve">Hay dos comunas que no limitan directamente con el cerro San Cristóbal, pero forman parte de esta comparación porque parte de su territorio alcanza el rango de viviendas cercanas (1 km. a la redonda de la montaña). En Santiago Centro, el barrio Lastarria los inmuebles tienen un precio 15,8% más caro (65,6 UF) que el promedio de la comuna (56,6 UF). Este incremento de valor se debe a su característica bohemia con galerías de arte y tiendas de diseño en un ambiente neoclásico. En donde la montaña  es otro elemento de la escena.</w:t>
      </w:r>
    </w:p>
    <w:p w:rsidR="00000000" w:rsidDel="00000000" w:rsidP="00000000" w:rsidRDefault="00000000" w:rsidRPr="00000000" w14:paraId="00000011">
      <w:pPr>
        <w:rPr/>
      </w:pPr>
      <w:r w:rsidDel="00000000" w:rsidR="00000000" w:rsidRPr="00000000">
        <w:rPr>
          <w:rtl w:val="0"/>
        </w:rPr>
        <w:t xml:space="preserve">En Las Condes, la misma comparación refleja que el valor de las propiedades en ‘Sanhattan’ cae 7,3% (84,6 UF), respecto a la media de la comuna (91,2 UF). Una parte de este barrio agrupa edificios que desde 1990 la han convertido en el centro financiero de la capital. Razón por la que se revalorizaron las viviendas.</w:t>
      </w:r>
    </w:p>
    <w:p w:rsidR="00000000" w:rsidDel="00000000" w:rsidP="00000000" w:rsidRDefault="00000000" w:rsidRPr="00000000" w14:paraId="00000012">
      <w:pPr>
        <w:rPr/>
      </w:pPr>
      <w:r w:rsidDel="00000000" w:rsidR="00000000" w:rsidRPr="00000000">
        <w:rPr>
          <w:rtl w:val="0"/>
        </w:rPr>
      </w:r>
    </w:p>
    <w:tbl>
      <w:tblPr>
        <w:tblStyle w:val="Table2"/>
        <w:tblW w:w="9330.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0"/>
        <w:gridCol w:w="1395"/>
        <w:gridCol w:w="1845"/>
        <w:gridCol w:w="1380"/>
        <w:gridCol w:w="1470"/>
        <w:tblGridChange w:id="0">
          <w:tblGrid>
            <w:gridCol w:w="3240"/>
            <w:gridCol w:w="1395"/>
            <w:gridCol w:w="1845"/>
            <w:gridCol w:w="1380"/>
            <w:gridCol w:w="1470"/>
          </w:tblGrid>
        </w:tblGridChange>
      </w:tblGrid>
      <w:tr>
        <w:trPr>
          <w:cantSplit w:val="0"/>
          <w:trHeight w:val="315" w:hRule="atLeast"/>
          <w:tblHeader w:val="0"/>
        </w:trPr>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3">
            <w:pPr>
              <w:widowControl w:val="0"/>
              <w:spacing w:after="0" w:lineRule="auto"/>
              <w:rPr>
                <w:b w:val="1"/>
              </w:rPr>
            </w:pPr>
            <w:r w:rsidDel="00000000" w:rsidR="00000000" w:rsidRPr="00000000">
              <w:rPr>
                <w:b w:val="1"/>
                <w:rtl w:val="0"/>
              </w:rPr>
              <w:t xml:space="preserve">Nombre </w:t>
            </w:r>
          </w:p>
          <w:p w:rsidR="00000000" w:rsidDel="00000000" w:rsidP="00000000" w:rsidRDefault="00000000" w:rsidRPr="00000000" w14:paraId="00000014">
            <w:pPr>
              <w:widowControl w:val="0"/>
              <w:spacing w:after="0" w:lineRule="auto"/>
              <w:rPr>
                <w:b w:val="1"/>
              </w:rPr>
            </w:pPr>
            <w:r w:rsidDel="00000000" w:rsidR="00000000" w:rsidRPr="00000000">
              <w:rPr>
                <w:b w:val="1"/>
                <w:rtl w:val="0"/>
              </w:rPr>
              <w:t xml:space="preserve">Zona Cercana</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5">
            <w:pPr>
              <w:widowControl w:val="0"/>
              <w:spacing w:after="0" w:lineRule="auto"/>
              <w:rPr>
                <w:b w:val="1"/>
              </w:rPr>
            </w:pPr>
            <w:r w:rsidDel="00000000" w:rsidR="00000000" w:rsidRPr="00000000">
              <w:rPr>
                <w:b w:val="1"/>
                <w:rtl w:val="0"/>
              </w:rPr>
              <w:t xml:space="preserve">Comuna</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6">
            <w:pPr>
              <w:widowControl w:val="0"/>
              <w:spacing w:after="0" w:lineRule="auto"/>
              <w:jc w:val="center"/>
              <w:rPr>
                <w:b w:val="1"/>
              </w:rPr>
            </w:pPr>
            <w:r w:rsidDel="00000000" w:rsidR="00000000" w:rsidRPr="00000000">
              <w:rPr>
                <w:b w:val="1"/>
                <w:rtl w:val="0"/>
              </w:rPr>
              <w:t xml:space="preserve">Zona Cercana Precio m²</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7">
            <w:pPr>
              <w:widowControl w:val="0"/>
              <w:spacing w:after="0" w:lineRule="auto"/>
              <w:jc w:val="center"/>
              <w:rPr>
                <w:b w:val="1"/>
              </w:rPr>
            </w:pPr>
            <w:r w:rsidDel="00000000" w:rsidR="00000000" w:rsidRPr="00000000">
              <w:rPr>
                <w:b w:val="1"/>
                <w:rtl w:val="0"/>
              </w:rPr>
              <w:t xml:space="preserve">Comuna </w:t>
            </w:r>
          </w:p>
          <w:p w:rsidR="00000000" w:rsidDel="00000000" w:rsidP="00000000" w:rsidRDefault="00000000" w:rsidRPr="00000000" w14:paraId="00000018">
            <w:pPr>
              <w:widowControl w:val="0"/>
              <w:spacing w:after="0" w:lineRule="auto"/>
              <w:jc w:val="center"/>
              <w:rPr>
                <w:b w:val="1"/>
              </w:rPr>
            </w:pPr>
            <w:r w:rsidDel="00000000" w:rsidR="00000000" w:rsidRPr="00000000">
              <w:rPr>
                <w:b w:val="1"/>
                <w:rtl w:val="0"/>
              </w:rPr>
              <w:t xml:space="preserve">Precio m²</w:t>
            </w:r>
          </w:p>
        </w:tc>
        <w:tc>
          <w:tcPr>
            <w:tcBorders>
              <w:top w:color="ffffff"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9">
            <w:pPr>
              <w:widowControl w:val="0"/>
              <w:spacing w:after="0" w:lineRule="auto"/>
              <w:jc w:val="right"/>
              <w:rPr>
                <w:b w:val="1"/>
              </w:rPr>
            </w:pPr>
            <w:r w:rsidDel="00000000" w:rsidR="00000000" w:rsidRPr="00000000">
              <w:rPr>
                <w:b w:val="1"/>
                <w:rtl w:val="0"/>
              </w:rPr>
              <w:t xml:space="preserve">Variación %</w:t>
            </w:r>
          </w:p>
        </w:tc>
      </w:tr>
      <w:tr>
        <w:trPr>
          <w:cantSplit w:val="0"/>
          <w:trHeight w:val="315" w:hRule="atLeast"/>
          <w:tblHeader w:val="0"/>
        </w:trPr>
        <w:tc>
          <w:tcPr>
            <w:tcBorders>
              <w:top w:color="ffffff"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A">
            <w:pPr>
              <w:widowControl w:val="0"/>
              <w:spacing w:after="0" w:lineRule="auto"/>
              <w:rPr>
                <w:sz w:val="20"/>
                <w:szCs w:val="20"/>
              </w:rPr>
            </w:pPr>
            <w:r w:rsidDel="00000000" w:rsidR="00000000" w:rsidRPr="00000000">
              <w:rPr>
                <w:sz w:val="20"/>
                <w:szCs w:val="20"/>
                <w:rtl w:val="0"/>
              </w:rPr>
              <w:t xml:space="preserve">Bellavista</w:t>
            </w:r>
          </w:p>
        </w:tc>
        <w:tc>
          <w:tcPr>
            <w:tcBorders>
              <w:top w:color="ffffff"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B">
            <w:pPr>
              <w:widowControl w:val="0"/>
              <w:spacing w:after="0" w:lineRule="auto"/>
              <w:rPr>
                <w:sz w:val="20"/>
                <w:szCs w:val="20"/>
              </w:rPr>
            </w:pPr>
            <w:r w:rsidDel="00000000" w:rsidR="00000000" w:rsidRPr="00000000">
              <w:rPr>
                <w:sz w:val="20"/>
                <w:szCs w:val="20"/>
                <w:rtl w:val="0"/>
              </w:rPr>
              <w:t xml:space="preserve">Recoleta</w:t>
            </w:r>
          </w:p>
        </w:tc>
        <w:tc>
          <w:tcPr>
            <w:tcBorders>
              <w:top w:color="ffffff"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C">
            <w:pPr>
              <w:widowControl w:val="0"/>
              <w:spacing w:after="0" w:lineRule="auto"/>
              <w:jc w:val="center"/>
              <w:rPr>
                <w:sz w:val="20"/>
                <w:szCs w:val="20"/>
              </w:rPr>
            </w:pPr>
            <w:r w:rsidDel="00000000" w:rsidR="00000000" w:rsidRPr="00000000">
              <w:rPr>
                <w:sz w:val="20"/>
                <w:szCs w:val="20"/>
                <w:rtl w:val="0"/>
              </w:rPr>
              <w:t xml:space="preserve">UF 59,6</w:t>
            </w:r>
          </w:p>
        </w:tc>
        <w:tc>
          <w:tcPr>
            <w:tcBorders>
              <w:top w:color="ffffff"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D">
            <w:pPr>
              <w:widowControl w:val="0"/>
              <w:spacing w:after="0" w:lineRule="auto"/>
              <w:jc w:val="center"/>
              <w:rPr>
                <w:sz w:val="20"/>
                <w:szCs w:val="20"/>
              </w:rPr>
            </w:pPr>
            <w:r w:rsidDel="00000000" w:rsidR="00000000" w:rsidRPr="00000000">
              <w:rPr>
                <w:sz w:val="20"/>
                <w:szCs w:val="20"/>
                <w:rtl w:val="0"/>
              </w:rPr>
              <w:t xml:space="preserve">UF 51,1</w:t>
            </w:r>
          </w:p>
        </w:tc>
        <w:tc>
          <w:tcPr>
            <w:tcBorders>
              <w:top w:color="ffffff"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1E">
            <w:pPr>
              <w:widowControl w:val="0"/>
              <w:spacing w:after="0" w:lineRule="auto"/>
              <w:jc w:val="right"/>
              <w:rPr>
                <w:color w:val="3c78d8"/>
                <w:sz w:val="20"/>
                <w:szCs w:val="20"/>
              </w:rPr>
            </w:pPr>
            <w:r w:rsidDel="00000000" w:rsidR="00000000" w:rsidRPr="00000000">
              <w:rPr>
                <w:color w:val="3c78d8"/>
                <w:sz w:val="20"/>
                <w:szCs w:val="20"/>
                <w:rtl w:val="0"/>
              </w:rPr>
              <w:t xml:space="preserve">16,7%</w:t>
            </w:r>
          </w:p>
        </w:tc>
      </w:tr>
      <w:tr>
        <w:trPr>
          <w:cantSplit w:val="0"/>
          <w:trHeight w:val="315" w:hRule="atLeast"/>
          <w:tblHeader w:val="0"/>
        </w:trPr>
        <w:tc>
          <w:tcPr>
            <w:tcBorders>
              <w:top w:color="434343" w:space="0" w:sz="6" w:val="single"/>
              <w:left w:color="fffff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1F">
            <w:pPr>
              <w:widowControl w:val="0"/>
              <w:spacing w:after="0" w:lineRule="auto"/>
              <w:rPr>
                <w:sz w:val="20"/>
                <w:szCs w:val="20"/>
              </w:rPr>
            </w:pPr>
            <w:r w:rsidDel="00000000" w:rsidR="00000000" w:rsidRPr="00000000">
              <w:rPr>
                <w:sz w:val="20"/>
                <w:szCs w:val="20"/>
                <w:rtl w:val="0"/>
              </w:rPr>
              <w:t xml:space="preserve">Lastarria</w:t>
            </w:r>
          </w:p>
        </w:tc>
        <w:tc>
          <w:tcPr>
            <w:tcBorders>
              <w:top w:color="434343" w:space="0" w:sz="6" w:val="single"/>
              <w:left w:color="efefe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20">
            <w:pPr>
              <w:widowControl w:val="0"/>
              <w:spacing w:after="0" w:lineRule="auto"/>
              <w:rPr>
                <w:sz w:val="20"/>
                <w:szCs w:val="20"/>
              </w:rPr>
            </w:pPr>
            <w:r w:rsidDel="00000000" w:rsidR="00000000" w:rsidRPr="00000000">
              <w:rPr>
                <w:sz w:val="20"/>
                <w:szCs w:val="20"/>
                <w:rtl w:val="0"/>
              </w:rPr>
              <w:t xml:space="preserve">Santiago</w:t>
            </w:r>
          </w:p>
        </w:tc>
        <w:tc>
          <w:tcPr>
            <w:tcBorders>
              <w:top w:color="434343" w:space="0" w:sz="6" w:val="single"/>
              <w:left w:color="efefe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21">
            <w:pPr>
              <w:widowControl w:val="0"/>
              <w:spacing w:after="0" w:lineRule="auto"/>
              <w:jc w:val="center"/>
              <w:rPr>
                <w:sz w:val="20"/>
                <w:szCs w:val="20"/>
              </w:rPr>
            </w:pPr>
            <w:r w:rsidDel="00000000" w:rsidR="00000000" w:rsidRPr="00000000">
              <w:rPr>
                <w:sz w:val="20"/>
                <w:szCs w:val="20"/>
                <w:rtl w:val="0"/>
              </w:rPr>
              <w:t xml:space="preserve">UF 65,6</w:t>
            </w:r>
          </w:p>
        </w:tc>
        <w:tc>
          <w:tcPr>
            <w:tcBorders>
              <w:top w:color="434343" w:space="0" w:sz="6" w:val="single"/>
              <w:left w:color="efefe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22">
            <w:pPr>
              <w:widowControl w:val="0"/>
              <w:spacing w:after="0" w:lineRule="auto"/>
              <w:jc w:val="center"/>
              <w:rPr>
                <w:sz w:val="20"/>
                <w:szCs w:val="20"/>
              </w:rPr>
            </w:pPr>
            <w:r w:rsidDel="00000000" w:rsidR="00000000" w:rsidRPr="00000000">
              <w:rPr>
                <w:sz w:val="20"/>
                <w:szCs w:val="20"/>
                <w:rtl w:val="0"/>
              </w:rPr>
              <w:t xml:space="preserve">UF 56,6</w:t>
            </w:r>
          </w:p>
        </w:tc>
        <w:tc>
          <w:tcPr>
            <w:tcBorders>
              <w:top w:color="434343" w:space="0" w:sz="6" w:val="single"/>
              <w:left w:color="efefef" w:space="0" w:sz="6" w:val="single"/>
              <w:bottom w:color="434343" w:space="0" w:sz="6" w:val="single"/>
              <w:right w:color="fffff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23">
            <w:pPr>
              <w:widowControl w:val="0"/>
              <w:spacing w:after="0" w:lineRule="auto"/>
              <w:jc w:val="right"/>
              <w:rPr>
                <w:color w:val="3c78d8"/>
                <w:sz w:val="20"/>
                <w:szCs w:val="20"/>
              </w:rPr>
            </w:pPr>
            <w:r w:rsidDel="00000000" w:rsidR="00000000" w:rsidRPr="00000000">
              <w:rPr>
                <w:color w:val="3c78d8"/>
                <w:sz w:val="20"/>
                <w:szCs w:val="20"/>
                <w:rtl w:val="0"/>
              </w:rPr>
              <w:t xml:space="preserve">15,8%</w:t>
            </w:r>
          </w:p>
        </w:tc>
      </w:tr>
      <w:tr>
        <w:trPr>
          <w:cantSplit w:val="0"/>
          <w:trHeight w:val="315" w:hRule="atLeast"/>
          <w:tblHeader w:val="0"/>
        </w:trPr>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24">
            <w:pPr>
              <w:widowControl w:val="0"/>
              <w:spacing w:after="0" w:lineRule="auto"/>
              <w:rPr>
                <w:sz w:val="20"/>
                <w:szCs w:val="20"/>
              </w:rPr>
            </w:pPr>
            <w:r w:rsidDel="00000000" w:rsidR="00000000" w:rsidRPr="00000000">
              <w:rPr>
                <w:sz w:val="20"/>
                <w:szCs w:val="20"/>
                <w:rtl w:val="0"/>
              </w:rPr>
              <w:t xml:space="preserve">Recoleta </w:t>
            </w:r>
          </w:p>
        </w:tc>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25">
            <w:pPr>
              <w:widowControl w:val="0"/>
              <w:spacing w:after="0" w:lineRule="auto"/>
              <w:rPr>
                <w:sz w:val="20"/>
                <w:szCs w:val="20"/>
              </w:rPr>
            </w:pPr>
            <w:r w:rsidDel="00000000" w:rsidR="00000000" w:rsidRPr="00000000">
              <w:rPr>
                <w:sz w:val="20"/>
                <w:szCs w:val="20"/>
                <w:rtl w:val="0"/>
              </w:rPr>
              <w:t xml:space="preserve">Recoleta</w:t>
            </w:r>
          </w:p>
        </w:tc>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26">
            <w:pPr>
              <w:widowControl w:val="0"/>
              <w:spacing w:after="0" w:lineRule="auto"/>
              <w:jc w:val="center"/>
              <w:rPr>
                <w:sz w:val="20"/>
                <w:szCs w:val="20"/>
              </w:rPr>
            </w:pPr>
            <w:r w:rsidDel="00000000" w:rsidR="00000000" w:rsidRPr="00000000">
              <w:rPr>
                <w:sz w:val="20"/>
                <w:szCs w:val="20"/>
                <w:rtl w:val="0"/>
              </w:rPr>
              <w:t xml:space="preserve">UF 56,0</w:t>
            </w:r>
          </w:p>
        </w:tc>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27">
            <w:pPr>
              <w:widowControl w:val="0"/>
              <w:spacing w:after="0" w:lineRule="auto"/>
              <w:jc w:val="center"/>
              <w:rPr>
                <w:sz w:val="20"/>
                <w:szCs w:val="20"/>
              </w:rPr>
            </w:pPr>
            <w:r w:rsidDel="00000000" w:rsidR="00000000" w:rsidRPr="00000000">
              <w:rPr>
                <w:sz w:val="20"/>
                <w:szCs w:val="20"/>
                <w:rtl w:val="0"/>
              </w:rPr>
              <w:t xml:space="preserve">UF 51,1</w:t>
            </w:r>
          </w:p>
        </w:tc>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28">
            <w:pPr>
              <w:widowControl w:val="0"/>
              <w:spacing w:after="0" w:lineRule="auto"/>
              <w:jc w:val="right"/>
              <w:rPr>
                <w:color w:val="3c78d8"/>
                <w:sz w:val="20"/>
                <w:szCs w:val="20"/>
              </w:rPr>
            </w:pPr>
            <w:r w:rsidDel="00000000" w:rsidR="00000000" w:rsidRPr="00000000">
              <w:rPr>
                <w:color w:val="3c78d8"/>
                <w:sz w:val="20"/>
                <w:szCs w:val="20"/>
                <w:rtl w:val="0"/>
              </w:rPr>
              <w:t xml:space="preserve">9,6%</w:t>
            </w:r>
          </w:p>
        </w:tc>
      </w:tr>
      <w:tr>
        <w:trPr>
          <w:cantSplit w:val="0"/>
          <w:trHeight w:val="315" w:hRule="atLeast"/>
          <w:tblHeader w:val="0"/>
        </w:trPr>
        <w:tc>
          <w:tcPr>
            <w:tcBorders>
              <w:top w:color="434343" w:space="0" w:sz="6" w:val="single"/>
              <w:left w:color="fffff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29">
            <w:pPr>
              <w:widowControl w:val="0"/>
              <w:spacing w:after="0" w:lineRule="auto"/>
              <w:rPr>
                <w:sz w:val="20"/>
                <w:szCs w:val="20"/>
              </w:rPr>
            </w:pPr>
            <w:r w:rsidDel="00000000" w:rsidR="00000000" w:rsidRPr="00000000">
              <w:rPr>
                <w:sz w:val="20"/>
                <w:szCs w:val="20"/>
                <w:rtl w:val="0"/>
              </w:rPr>
              <w:t xml:space="preserve">Ciudad Empresarial</w:t>
            </w:r>
          </w:p>
        </w:tc>
        <w:tc>
          <w:tcPr>
            <w:tcBorders>
              <w:top w:color="434343" w:space="0" w:sz="6" w:val="single"/>
              <w:left w:color="efefe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2A">
            <w:pPr>
              <w:widowControl w:val="0"/>
              <w:spacing w:after="0" w:lineRule="auto"/>
              <w:rPr>
                <w:sz w:val="20"/>
                <w:szCs w:val="20"/>
              </w:rPr>
            </w:pPr>
            <w:r w:rsidDel="00000000" w:rsidR="00000000" w:rsidRPr="00000000">
              <w:rPr>
                <w:sz w:val="20"/>
                <w:szCs w:val="20"/>
                <w:rtl w:val="0"/>
              </w:rPr>
              <w:t xml:space="preserve">Huechuraba</w:t>
            </w:r>
          </w:p>
        </w:tc>
        <w:tc>
          <w:tcPr>
            <w:tcBorders>
              <w:top w:color="434343" w:space="0" w:sz="6" w:val="single"/>
              <w:left w:color="efefe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2B">
            <w:pPr>
              <w:widowControl w:val="0"/>
              <w:spacing w:after="0" w:lineRule="auto"/>
              <w:jc w:val="center"/>
              <w:rPr>
                <w:sz w:val="20"/>
                <w:szCs w:val="20"/>
              </w:rPr>
            </w:pPr>
            <w:r w:rsidDel="00000000" w:rsidR="00000000" w:rsidRPr="00000000">
              <w:rPr>
                <w:sz w:val="20"/>
                <w:szCs w:val="20"/>
                <w:rtl w:val="0"/>
              </w:rPr>
              <w:t xml:space="preserve">UF 67,3</w:t>
            </w:r>
          </w:p>
        </w:tc>
        <w:tc>
          <w:tcPr>
            <w:tcBorders>
              <w:top w:color="434343" w:space="0" w:sz="6" w:val="single"/>
              <w:left w:color="efefe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2C">
            <w:pPr>
              <w:widowControl w:val="0"/>
              <w:spacing w:after="0" w:lineRule="auto"/>
              <w:jc w:val="center"/>
              <w:rPr>
                <w:sz w:val="20"/>
                <w:szCs w:val="20"/>
              </w:rPr>
            </w:pPr>
            <w:r w:rsidDel="00000000" w:rsidR="00000000" w:rsidRPr="00000000">
              <w:rPr>
                <w:sz w:val="20"/>
                <w:szCs w:val="20"/>
                <w:rtl w:val="0"/>
              </w:rPr>
              <w:t xml:space="preserve">UF 64,2</w:t>
            </w:r>
          </w:p>
        </w:tc>
        <w:tc>
          <w:tcPr>
            <w:tcBorders>
              <w:top w:color="434343" w:space="0" w:sz="6" w:val="single"/>
              <w:left w:color="efefef" w:space="0" w:sz="6" w:val="single"/>
              <w:bottom w:color="434343" w:space="0" w:sz="6" w:val="single"/>
              <w:right w:color="fffff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2D">
            <w:pPr>
              <w:widowControl w:val="0"/>
              <w:spacing w:after="0" w:lineRule="auto"/>
              <w:jc w:val="right"/>
              <w:rPr>
                <w:color w:val="3c78d8"/>
                <w:sz w:val="20"/>
                <w:szCs w:val="20"/>
              </w:rPr>
            </w:pPr>
            <w:r w:rsidDel="00000000" w:rsidR="00000000" w:rsidRPr="00000000">
              <w:rPr>
                <w:color w:val="3c78d8"/>
                <w:sz w:val="20"/>
                <w:szCs w:val="20"/>
                <w:rtl w:val="0"/>
              </w:rPr>
              <w:t xml:space="preserve">4,8%</w:t>
            </w:r>
          </w:p>
        </w:tc>
      </w:tr>
      <w:tr>
        <w:trPr>
          <w:cantSplit w:val="0"/>
          <w:trHeight w:val="375" w:hRule="atLeast"/>
          <w:tblHeader w:val="0"/>
        </w:trPr>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2E">
            <w:pPr>
              <w:widowControl w:val="0"/>
              <w:spacing w:after="0" w:lineRule="auto"/>
              <w:jc w:val="left"/>
              <w:rPr>
                <w:sz w:val="20"/>
                <w:szCs w:val="20"/>
              </w:rPr>
            </w:pPr>
            <w:r w:rsidDel="00000000" w:rsidR="00000000" w:rsidRPr="00000000">
              <w:rPr>
                <w:sz w:val="20"/>
                <w:szCs w:val="20"/>
                <w:rtl w:val="0"/>
              </w:rPr>
              <w:t xml:space="preserve">Alrededor Parque Bicentenario</w:t>
            </w:r>
          </w:p>
        </w:tc>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2F">
            <w:pPr>
              <w:widowControl w:val="0"/>
              <w:spacing w:after="0" w:lineRule="auto"/>
              <w:rPr>
                <w:sz w:val="20"/>
                <w:szCs w:val="20"/>
              </w:rPr>
            </w:pPr>
            <w:r w:rsidDel="00000000" w:rsidR="00000000" w:rsidRPr="00000000">
              <w:rPr>
                <w:sz w:val="20"/>
                <w:szCs w:val="20"/>
                <w:rtl w:val="0"/>
              </w:rPr>
              <w:t xml:space="preserve">Vitacura</w:t>
            </w:r>
          </w:p>
        </w:tc>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30">
            <w:pPr>
              <w:widowControl w:val="0"/>
              <w:spacing w:after="0" w:lineRule="auto"/>
              <w:jc w:val="center"/>
              <w:rPr>
                <w:sz w:val="20"/>
                <w:szCs w:val="20"/>
              </w:rPr>
            </w:pPr>
            <w:r w:rsidDel="00000000" w:rsidR="00000000" w:rsidRPr="00000000">
              <w:rPr>
                <w:sz w:val="20"/>
                <w:szCs w:val="20"/>
                <w:rtl w:val="0"/>
              </w:rPr>
              <w:t xml:space="preserve">UF 100,2</w:t>
            </w:r>
          </w:p>
        </w:tc>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31">
            <w:pPr>
              <w:widowControl w:val="0"/>
              <w:spacing w:after="0" w:lineRule="auto"/>
              <w:jc w:val="center"/>
              <w:rPr>
                <w:sz w:val="20"/>
                <w:szCs w:val="20"/>
              </w:rPr>
            </w:pPr>
            <w:r w:rsidDel="00000000" w:rsidR="00000000" w:rsidRPr="00000000">
              <w:rPr>
                <w:sz w:val="20"/>
                <w:szCs w:val="20"/>
                <w:rtl w:val="0"/>
              </w:rPr>
              <w:t xml:space="preserve">UF 96,8</w:t>
            </w:r>
          </w:p>
        </w:tc>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32">
            <w:pPr>
              <w:widowControl w:val="0"/>
              <w:spacing w:after="0" w:lineRule="auto"/>
              <w:jc w:val="right"/>
              <w:rPr>
                <w:color w:val="3c78d8"/>
                <w:sz w:val="20"/>
                <w:szCs w:val="20"/>
              </w:rPr>
            </w:pPr>
            <w:r w:rsidDel="00000000" w:rsidR="00000000" w:rsidRPr="00000000">
              <w:rPr>
                <w:color w:val="3c78d8"/>
                <w:sz w:val="20"/>
                <w:szCs w:val="20"/>
                <w:rtl w:val="0"/>
              </w:rPr>
              <w:t xml:space="preserve">3,5%</w:t>
            </w:r>
          </w:p>
        </w:tc>
      </w:tr>
      <w:tr>
        <w:trPr>
          <w:cantSplit w:val="0"/>
          <w:trHeight w:val="633.9550781249999" w:hRule="atLeast"/>
          <w:tblHeader w:val="0"/>
        </w:trPr>
        <w:tc>
          <w:tcPr>
            <w:tcBorders>
              <w:top w:color="434343" w:space="0" w:sz="6" w:val="single"/>
              <w:left w:color="fffff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33">
            <w:pPr>
              <w:widowControl w:val="0"/>
              <w:spacing w:after="0" w:lineRule="auto"/>
              <w:jc w:val="left"/>
              <w:rPr>
                <w:sz w:val="20"/>
                <w:szCs w:val="20"/>
              </w:rPr>
            </w:pPr>
            <w:r w:rsidDel="00000000" w:rsidR="00000000" w:rsidRPr="00000000">
              <w:rPr>
                <w:sz w:val="20"/>
                <w:szCs w:val="20"/>
                <w:rtl w:val="0"/>
              </w:rPr>
              <w:t xml:space="preserve">Pedro de Valdivia Norte  y alrededores</w:t>
            </w:r>
          </w:p>
        </w:tc>
        <w:tc>
          <w:tcPr>
            <w:tcBorders>
              <w:top w:color="434343" w:space="0" w:sz="6" w:val="single"/>
              <w:left w:color="efefe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34">
            <w:pPr>
              <w:widowControl w:val="0"/>
              <w:spacing w:after="0" w:lineRule="auto"/>
              <w:rPr>
                <w:sz w:val="20"/>
                <w:szCs w:val="20"/>
              </w:rPr>
            </w:pPr>
            <w:r w:rsidDel="00000000" w:rsidR="00000000" w:rsidRPr="00000000">
              <w:rPr>
                <w:sz w:val="20"/>
                <w:szCs w:val="20"/>
                <w:rtl w:val="0"/>
              </w:rPr>
              <w:t xml:space="preserve">Providencia</w:t>
            </w:r>
          </w:p>
        </w:tc>
        <w:tc>
          <w:tcPr>
            <w:tcBorders>
              <w:top w:color="434343" w:space="0" w:sz="6" w:val="single"/>
              <w:left w:color="efefe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35">
            <w:pPr>
              <w:widowControl w:val="0"/>
              <w:spacing w:after="0" w:lineRule="auto"/>
              <w:jc w:val="center"/>
              <w:rPr>
                <w:sz w:val="20"/>
                <w:szCs w:val="20"/>
              </w:rPr>
            </w:pPr>
            <w:r w:rsidDel="00000000" w:rsidR="00000000" w:rsidRPr="00000000">
              <w:rPr>
                <w:sz w:val="20"/>
                <w:szCs w:val="20"/>
                <w:rtl w:val="0"/>
              </w:rPr>
              <w:t xml:space="preserve">UF 87,4</w:t>
            </w:r>
          </w:p>
        </w:tc>
        <w:tc>
          <w:tcPr>
            <w:tcBorders>
              <w:top w:color="434343" w:space="0" w:sz="6" w:val="single"/>
              <w:left w:color="efefe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36">
            <w:pPr>
              <w:widowControl w:val="0"/>
              <w:spacing w:after="0" w:lineRule="auto"/>
              <w:jc w:val="center"/>
              <w:rPr>
                <w:sz w:val="20"/>
                <w:szCs w:val="20"/>
              </w:rPr>
            </w:pPr>
            <w:r w:rsidDel="00000000" w:rsidR="00000000" w:rsidRPr="00000000">
              <w:rPr>
                <w:sz w:val="20"/>
                <w:szCs w:val="20"/>
                <w:rtl w:val="0"/>
              </w:rPr>
              <w:t xml:space="preserve">UF 85,2</w:t>
            </w:r>
          </w:p>
        </w:tc>
        <w:tc>
          <w:tcPr>
            <w:tcBorders>
              <w:top w:color="434343" w:space="0" w:sz="6" w:val="single"/>
              <w:left w:color="efefef" w:space="0" w:sz="6" w:val="single"/>
              <w:bottom w:color="434343" w:space="0" w:sz="6" w:val="single"/>
              <w:right w:color="fffff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37">
            <w:pPr>
              <w:widowControl w:val="0"/>
              <w:spacing w:after="0" w:lineRule="auto"/>
              <w:jc w:val="right"/>
              <w:rPr>
                <w:color w:val="3c78d8"/>
                <w:sz w:val="20"/>
                <w:szCs w:val="20"/>
              </w:rPr>
            </w:pPr>
            <w:r w:rsidDel="00000000" w:rsidR="00000000" w:rsidRPr="00000000">
              <w:rPr>
                <w:color w:val="3c78d8"/>
                <w:sz w:val="20"/>
                <w:szCs w:val="20"/>
                <w:rtl w:val="0"/>
              </w:rPr>
              <w:t xml:space="preserve">2,6%</w:t>
            </w:r>
          </w:p>
        </w:tc>
      </w:tr>
      <w:tr>
        <w:trPr>
          <w:cantSplit w:val="0"/>
          <w:trHeight w:val="438.95507812499994" w:hRule="atLeast"/>
          <w:tblHeader w:val="0"/>
        </w:trPr>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38">
            <w:pPr>
              <w:widowControl w:val="0"/>
              <w:spacing w:after="0" w:lineRule="auto"/>
              <w:rPr>
                <w:sz w:val="20"/>
                <w:szCs w:val="20"/>
              </w:rPr>
            </w:pPr>
            <w:r w:rsidDel="00000000" w:rsidR="00000000" w:rsidRPr="00000000">
              <w:rPr>
                <w:sz w:val="20"/>
                <w:szCs w:val="20"/>
                <w:rtl w:val="0"/>
              </w:rPr>
              <w:t xml:space="preserve">Patronato</w:t>
            </w:r>
            <w:r w:rsidDel="00000000" w:rsidR="00000000" w:rsidRPr="00000000">
              <w:rPr>
                <w:rtl w:val="0"/>
              </w:rPr>
            </w:r>
          </w:p>
        </w:tc>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39">
            <w:pPr>
              <w:widowControl w:val="0"/>
              <w:spacing w:after="0" w:lineRule="auto"/>
              <w:rPr>
                <w:sz w:val="20"/>
                <w:szCs w:val="20"/>
              </w:rPr>
            </w:pPr>
            <w:r w:rsidDel="00000000" w:rsidR="00000000" w:rsidRPr="00000000">
              <w:rPr>
                <w:sz w:val="20"/>
                <w:szCs w:val="20"/>
                <w:rtl w:val="0"/>
              </w:rPr>
              <w:t xml:space="preserve">Recoleta</w:t>
            </w:r>
          </w:p>
        </w:tc>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3A">
            <w:pPr>
              <w:widowControl w:val="0"/>
              <w:spacing w:after="0" w:lineRule="auto"/>
              <w:jc w:val="center"/>
              <w:rPr>
                <w:sz w:val="20"/>
                <w:szCs w:val="20"/>
              </w:rPr>
            </w:pPr>
            <w:r w:rsidDel="00000000" w:rsidR="00000000" w:rsidRPr="00000000">
              <w:rPr>
                <w:sz w:val="20"/>
                <w:szCs w:val="20"/>
                <w:rtl w:val="0"/>
              </w:rPr>
              <w:t xml:space="preserve">UF 52,3</w:t>
            </w:r>
          </w:p>
        </w:tc>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3B">
            <w:pPr>
              <w:widowControl w:val="0"/>
              <w:spacing w:after="0" w:lineRule="auto"/>
              <w:jc w:val="center"/>
              <w:rPr>
                <w:sz w:val="20"/>
                <w:szCs w:val="20"/>
              </w:rPr>
            </w:pPr>
            <w:r w:rsidDel="00000000" w:rsidR="00000000" w:rsidRPr="00000000">
              <w:rPr>
                <w:sz w:val="20"/>
                <w:szCs w:val="20"/>
                <w:rtl w:val="0"/>
              </w:rPr>
              <w:t xml:space="preserve">UF 51,1</w:t>
            </w:r>
          </w:p>
        </w:tc>
        <w:tc>
          <w:tcPr>
            <w:tcBorders>
              <w:top w:color="434343" w:space="0" w:sz="6" w:val="single"/>
              <w:left w:color="ffffff" w:space="0" w:sz="6" w:val="single"/>
              <w:bottom w:color="434343"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3C">
            <w:pPr>
              <w:widowControl w:val="0"/>
              <w:spacing w:after="0" w:lineRule="auto"/>
              <w:jc w:val="right"/>
              <w:rPr>
                <w:color w:val="3c78d8"/>
                <w:sz w:val="20"/>
                <w:szCs w:val="20"/>
              </w:rPr>
            </w:pPr>
            <w:r w:rsidDel="00000000" w:rsidR="00000000" w:rsidRPr="00000000">
              <w:rPr>
                <w:color w:val="3c78d8"/>
                <w:sz w:val="20"/>
                <w:szCs w:val="20"/>
                <w:rtl w:val="0"/>
              </w:rPr>
              <w:t xml:space="preserve">2,3%</w:t>
            </w:r>
          </w:p>
        </w:tc>
      </w:tr>
      <w:tr>
        <w:trPr>
          <w:cantSplit w:val="0"/>
          <w:trHeight w:val="315" w:hRule="atLeast"/>
          <w:tblHeader w:val="0"/>
        </w:trPr>
        <w:tc>
          <w:tcPr>
            <w:tcBorders>
              <w:top w:color="434343" w:space="0" w:sz="6" w:val="single"/>
              <w:left w:color="fffff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3D">
            <w:pPr>
              <w:widowControl w:val="0"/>
              <w:spacing w:after="0" w:lineRule="auto"/>
              <w:jc w:val="left"/>
              <w:rPr>
                <w:sz w:val="20"/>
                <w:szCs w:val="20"/>
              </w:rPr>
            </w:pPr>
            <w:r w:rsidDel="00000000" w:rsidR="00000000" w:rsidRPr="00000000">
              <w:rPr>
                <w:sz w:val="20"/>
                <w:szCs w:val="20"/>
                <w:rtl w:val="0"/>
              </w:rPr>
              <w:t xml:space="preserve">Zona Financiera ‘</w:t>
            </w:r>
            <w:r w:rsidDel="00000000" w:rsidR="00000000" w:rsidRPr="00000000">
              <w:rPr>
                <w:sz w:val="20"/>
                <w:szCs w:val="20"/>
                <w:rtl w:val="0"/>
              </w:rPr>
              <w:t xml:space="preserve">Sanhattan’</w:t>
            </w:r>
          </w:p>
        </w:tc>
        <w:tc>
          <w:tcPr>
            <w:tcBorders>
              <w:top w:color="434343" w:space="0" w:sz="6" w:val="single"/>
              <w:left w:color="efefe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3E">
            <w:pPr>
              <w:widowControl w:val="0"/>
              <w:spacing w:after="0" w:lineRule="auto"/>
              <w:rPr>
                <w:sz w:val="20"/>
                <w:szCs w:val="20"/>
              </w:rPr>
            </w:pPr>
            <w:r w:rsidDel="00000000" w:rsidR="00000000" w:rsidRPr="00000000">
              <w:rPr>
                <w:sz w:val="20"/>
                <w:szCs w:val="20"/>
                <w:rtl w:val="0"/>
              </w:rPr>
              <w:t xml:space="preserve">Las Condes</w:t>
            </w:r>
          </w:p>
        </w:tc>
        <w:tc>
          <w:tcPr>
            <w:tcBorders>
              <w:top w:color="434343" w:space="0" w:sz="6" w:val="single"/>
              <w:left w:color="efefe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3F">
            <w:pPr>
              <w:widowControl w:val="0"/>
              <w:spacing w:after="0" w:lineRule="auto"/>
              <w:jc w:val="center"/>
              <w:rPr>
                <w:sz w:val="20"/>
                <w:szCs w:val="20"/>
              </w:rPr>
            </w:pPr>
            <w:r w:rsidDel="00000000" w:rsidR="00000000" w:rsidRPr="00000000">
              <w:rPr>
                <w:sz w:val="20"/>
                <w:szCs w:val="20"/>
                <w:rtl w:val="0"/>
              </w:rPr>
              <w:t xml:space="preserve">UF 84,6</w:t>
            </w:r>
          </w:p>
        </w:tc>
        <w:tc>
          <w:tcPr>
            <w:tcBorders>
              <w:top w:color="434343" w:space="0" w:sz="6" w:val="single"/>
              <w:left w:color="efefef" w:space="0" w:sz="6" w:val="single"/>
              <w:bottom w:color="434343" w:space="0" w:sz="6" w:val="single"/>
              <w:right w:color="efefe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40">
            <w:pPr>
              <w:widowControl w:val="0"/>
              <w:spacing w:after="0" w:lineRule="auto"/>
              <w:jc w:val="center"/>
              <w:rPr>
                <w:sz w:val="20"/>
                <w:szCs w:val="20"/>
              </w:rPr>
            </w:pPr>
            <w:r w:rsidDel="00000000" w:rsidR="00000000" w:rsidRPr="00000000">
              <w:rPr>
                <w:sz w:val="20"/>
                <w:szCs w:val="20"/>
                <w:rtl w:val="0"/>
              </w:rPr>
              <w:t xml:space="preserve">UF 91,2</w:t>
            </w:r>
          </w:p>
        </w:tc>
        <w:tc>
          <w:tcPr>
            <w:tcBorders>
              <w:top w:color="434343" w:space="0" w:sz="6" w:val="single"/>
              <w:left w:color="efefef" w:space="0" w:sz="6" w:val="single"/>
              <w:bottom w:color="434343" w:space="0" w:sz="6" w:val="single"/>
              <w:right w:color="ffffff"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41">
            <w:pPr>
              <w:widowControl w:val="0"/>
              <w:spacing w:after="0" w:lineRule="auto"/>
              <w:jc w:val="right"/>
              <w:rPr>
                <w:color w:val="e69138"/>
                <w:sz w:val="20"/>
                <w:szCs w:val="20"/>
              </w:rPr>
            </w:pPr>
            <w:r w:rsidDel="00000000" w:rsidR="00000000" w:rsidRPr="00000000">
              <w:rPr>
                <w:color w:val="e69138"/>
                <w:sz w:val="20"/>
                <w:szCs w:val="20"/>
                <w:rtl w:val="0"/>
              </w:rPr>
              <w:t xml:space="preserve">-7,3%</w:t>
            </w:r>
          </w:p>
        </w:tc>
      </w:tr>
      <w:tr>
        <w:trPr>
          <w:cantSplit w:val="0"/>
          <w:trHeight w:val="315" w:hRule="atLeast"/>
          <w:tblHeader w:val="0"/>
        </w:trPr>
        <w:tc>
          <w:tcPr>
            <w:tcBorders>
              <w:top w:color="434343"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spacing w:after="0" w:lineRule="auto"/>
              <w:rPr>
                <w:sz w:val="20"/>
                <w:szCs w:val="20"/>
              </w:rPr>
            </w:pPr>
            <w:r w:rsidDel="00000000" w:rsidR="00000000" w:rsidRPr="00000000">
              <w:rPr>
                <w:sz w:val="20"/>
                <w:szCs w:val="20"/>
                <w:rtl w:val="0"/>
              </w:rPr>
              <w:t xml:space="preserve">Bellavista </w:t>
            </w:r>
          </w:p>
        </w:tc>
        <w:tc>
          <w:tcPr>
            <w:tcBorders>
              <w:top w:color="434343"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spacing w:after="0" w:lineRule="auto"/>
              <w:rPr>
                <w:sz w:val="20"/>
                <w:szCs w:val="20"/>
              </w:rPr>
            </w:pPr>
            <w:r w:rsidDel="00000000" w:rsidR="00000000" w:rsidRPr="00000000">
              <w:rPr>
                <w:sz w:val="20"/>
                <w:szCs w:val="20"/>
                <w:rtl w:val="0"/>
              </w:rPr>
              <w:t xml:space="preserve">Providencia</w:t>
            </w:r>
          </w:p>
        </w:tc>
        <w:tc>
          <w:tcPr>
            <w:tcBorders>
              <w:top w:color="434343"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spacing w:after="0" w:lineRule="auto"/>
              <w:jc w:val="center"/>
              <w:rPr>
                <w:sz w:val="20"/>
                <w:szCs w:val="20"/>
              </w:rPr>
            </w:pPr>
            <w:r w:rsidDel="00000000" w:rsidR="00000000" w:rsidRPr="00000000">
              <w:rPr>
                <w:sz w:val="20"/>
                <w:szCs w:val="20"/>
                <w:rtl w:val="0"/>
              </w:rPr>
              <w:t xml:space="preserve">UF 71,9</w:t>
            </w:r>
          </w:p>
        </w:tc>
        <w:tc>
          <w:tcPr>
            <w:tcBorders>
              <w:top w:color="434343"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spacing w:after="0" w:lineRule="auto"/>
              <w:jc w:val="center"/>
              <w:rPr>
                <w:sz w:val="20"/>
                <w:szCs w:val="20"/>
              </w:rPr>
            </w:pPr>
            <w:r w:rsidDel="00000000" w:rsidR="00000000" w:rsidRPr="00000000">
              <w:rPr>
                <w:sz w:val="20"/>
                <w:szCs w:val="20"/>
                <w:rtl w:val="0"/>
              </w:rPr>
              <w:t xml:space="preserve">UF 85,2</w:t>
            </w:r>
          </w:p>
        </w:tc>
        <w:tc>
          <w:tcPr>
            <w:tcBorders>
              <w:top w:color="434343"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spacing w:after="0" w:lineRule="auto"/>
              <w:jc w:val="right"/>
              <w:rPr>
                <w:color w:val="e69138"/>
                <w:sz w:val="20"/>
                <w:szCs w:val="20"/>
              </w:rPr>
            </w:pPr>
            <w:r w:rsidDel="00000000" w:rsidR="00000000" w:rsidRPr="00000000">
              <w:rPr>
                <w:color w:val="e69138"/>
                <w:sz w:val="20"/>
                <w:szCs w:val="20"/>
                <w:rtl w:val="0"/>
              </w:rPr>
              <w:t xml:space="preserve">-15,6%</w:t>
            </w:r>
          </w:p>
        </w:tc>
      </w:tr>
      <w:tr>
        <w:trPr>
          <w:cantSplit w:val="0"/>
          <w:trHeight w:val="315" w:hRule="atLeast"/>
          <w:tblHeader w:val="0"/>
        </w:trPr>
        <w:tc>
          <w:tcPr>
            <w:gridSpan w:val="5"/>
            <w:tcBorders>
              <w:top w:color="434343" w:space="0" w:sz="6" w:val="single"/>
              <w:left w:color="ffffff" w:space="0" w:sz="6" w:val="single"/>
              <w:bottom w:color="ffffff" w:space="0" w:sz="6" w:val="single"/>
              <w:right w:color="ffffff" w:space="0" w:sz="6"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spacing w:after="0" w:lineRule="auto"/>
              <w:jc w:val="right"/>
              <w:rPr>
                <w:i w:val="1"/>
                <w:sz w:val="16"/>
                <w:szCs w:val="16"/>
              </w:rPr>
            </w:pPr>
            <w:r w:rsidDel="00000000" w:rsidR="00000000" w:rsidRPr="00000000">
              <w:rPr>
                <w:i w:val="1"/>
                <w:sz w:val="16"/>
                <w:szCs w:val="16"/>
                <w:rtl w:val="0"/>
              </w:rPr>
              <w:t xml:space="preserve">Fuente: Trovit. Departamentos de 2 y 3 habitaciones.</w:t>
            </w:r>
          </w:p>
        </w:tc>
      </w:tr>
    </w:tbl>
    <w:p w:rsidR="00000000" w:rsidDel="00000000" w:rsidP="00000000" w:rsidRDefault="00000000" w:rsidRPr="00000000" w14:paraId="0000004C">
      <w:pPr>
        <w:spacing w:before="200" w:lineRule="auto"/>
        <w:rPr/>
      </w:pPr>
      <w:r w:rsidDel="00000000" w:rsidR="00000000" w:rsidRPr="00000000">
        <w:rPr>
          <w:rtl w:val="0"/>
        </w:rPr>
        <w:t xml:space="preserve">El cerro San Cristóbal no es la única influencia en el mercado inmobiliario en estos lugares. Es uno de los muchos factores que muestra lo dinámica y compleja que es la industria de los bienes raíces.</w:t>
      </w:r>
    </w:p>
    <w:p w:rsidR="00000000" w:rsidDel="00000000" w:rsidP="00000000" w:rsidRDefault="00000000" w:rsidRPr="00000000" w14:paraId="0000004D">
      <w:pPr>
        <w:pStyle w:val="Heading2"/>
        <w:spacing w:after="0" w:lineRule="auto"/>
        <w:rPr/>
      </w:pPr>
      <w:bookmarkStart w:colFirst="0" w:colLast="0" w:name="_daorb7j6tyre" w:id="3"/>
      <w:bookmarkEnd w:id="3"/>
      <w:r w:rsidDel="00000000" w:rsidR="00000000" w:rsidRPr="00000000">
        <w:rPr>
          <w:rtl w:val="0"/>
        </w:rPr>
        <w:t xml:space="preserve">Los datos del cerro San Cristóbal</w:t>
      </w:r>
    </w:p>
    <w:p w:rsidR="00000000" w:rsidDel="00000000" w:rsidP="00000000" w:rsidRDefault="00000000" w:rsidRPr="00000000" w14:paraId="0000004E">
      <w:pPr>
        <w:numPr>
          <w:ilvl w:val="0"/>
          <w:numId w:val="1"/>
        </w:numPr>
        <w:spacing w:after="0" w:afterAutospacing="0"/>
        <w:ind w:left="720" w:hanging="360"/>
      </w:pPr>
      <w:r w:rsidDel="00000000" w:rsidR="00000000" w:rsidRPr="00000000">
        <w:rPr>
          <w:rtl w:val="0"/>
        </w:rPr>
        <w:t xml:space="preserve">Tiene una extensión de 736,2 hectáreas, que equivale a 1.031 canchas de fútbol. </w:t>
      </w:r>
    </w:p>
    <w:p w:rsidR="00000000" w:rsidDel="00000000" w:rsidP="00000000" w:rsidRDefault="00000000" w:rsidRPr="00000000" w14:paraId="0000004F">
      <w:pPr>
        <w:numPr>
          <w:ilvl w:val="0"/>
          <w:numId w:val="1"/>
        </w:numPr>
        <w:spacing w:after="0" w:afterAutospacing="0"/>
        <w:ind w:left="720" w:hanging="360"/>
      </w:pPr>
      <w:r w:rsidDel="00000000" w:rsidR="00000000" w:rsidRPr="00000000">
        <w:rPr>
          <w:rtl w:val="0"/>
        </w:rPr>
        <w:t xml:space="preserve">Es hogar de un Zoológico, el Anfiteatro Mirador Pablo Neruda, Casa de la Cultura Anahuac, Funicular, Senderos y Ciclorecreovía, Jardín Botánico, Jardín Japonés, Piscinas Tupahue y Antilén, Observatorio Manuel Foster, y más.</w:t>
      </w:r>
    </w:p>
    <w:p w:rsidR="00000000" w:rsidDel="00000000" w:rsidP="00000000" w:rsidRDefault="00000000" w:rsidRPr="00000000" w14:paraId="00000050">
      <w:pPr>
        <w:numPr>
          <w:ilvl w:val="0"/>
          <w:numId w:val="1"/>
        </w:numPr>
        <w:spacing w:after="0" w:afterAutospacing="0"/>
        <w:ind w:left="720" w:hanging="360"/>
      </w:pPr>
      <w:r w:rsidDel="00000000" w:rsidR="00000000" w:rsidRPr="00000000">
        <w:rPr>
          <w:rtl w:val="0"/>
        </w:rPr>
        <w:t xml:space="preserve">Tiene cobertura arbórea en el 50-60% de su territorio.</w:t>
      </w:r>
    </w:p>
    <w:p w:rsidR="00000000" w:rsidDel="00000000" w:rsidP="00000000" w:rsidRDefault="00000000" w:rsidRPr="00000000" w14:paraId="00000051">
      <w:pPr>
        <w:numPr>
          <w:ilvl w:val="0"/>
          <w:numId w:val="1"/>
        </w:numPr>
        <w:spacing w:after="0" w:afterAutospacing="0"/>
        <w:ind w:left="720" w:hanging="360"/>
      </w:pPr>
      <w:r w:rsidDel="00000000" w:rsidR="00000000" w:rsidRPr="00000000">
        <w:rPr>
          <w:rtl w:val="0"/>
        </w:rPr>
        <w:t xml:space="preserve">Todo su territorio pertenece al Parque Nacional de Santiago. A pesar de presentarse como una sola unidad, esta área está compuesta por 6 cerros o cumbres: Polanco, Chacarilla, El Carbón, Pirámide, Los Gemelos y San Cristóbal.</w:t>
      </w:r>
    </w:p>
    <w:p w:rsidR="00000000" w:rsidDel="00000000" w:rsidP="00000000" w:rsidRDefault="00000000" w:rsidRPr="00000000" w14:paraId="00000052">
      <w:pPr>
        <w:numPr>
          <w:ilvl w:val="0"/>
          <w:numId w:val="1"/>
        </w:numPr>
        <w:ind w:left="720" w:hanging="360"/>
      </w:pPr>
      <w:r w:rsidDel="00000000" w:rsidR="00000000" w:rsidRPr="00000000">
        <w:rPr>
          <w:rtl w:val="0"/>
        </w:rPr>
        <w:t xml:space="preserve">La cumbre más alta es la de El Carbón (1.365 msnm.).</w:t>
      </w:r>
    </w:p>
    <w:p w:rsidR="00000000" w:rsidDel="00000000" w:rsidP="00000000" w:rsidRDefault="00000000" w:rsidRPr="00000000" w14:paraId="00000053">
      <w:pPr>
        <w:rPr/>
      </w:pPr>
      <w:r w:rsidDel="00000000" w:rsidR="00000000" w:rsidRPr="00000000">
        <w:rPr>
          <w:rtl w:val="0"/>
        </w:rPr>
        <w:t xml:space="preserve">En la Región Metropolitana de Santiago existen varias montañas que son parte de la urbe. En esta serie de investigaciones a nivel regional, el portal busca encontrar características únicas que describan y expliquen lo que significan los espacios naturales  emblemáticos.</w:t>
      </w:r>
    </w:p>
    <w:p w:rsidR="00000000" w:rsidDel="00000000" w:rsidP="00000000" w:rsidRDefault="00000000" w:rsidRPr="00000000" w14:paraId="00000054">
      <w:pPr>
        <w:jc w:val="center"/>
        <w:rPr/>
      </w:pPr>
      <w:hyperlink r:id="rId11">
        <w:r w:rsidDel="00000000" w:rsidR="00000000" w:rsidRPr="00000000">
          <w:rPr>
            <w:color w:val="1155cc"/>
            <w:u w:val="single"/>
            <w:rtl w:val="0"/>
          </w:rPr>
          <w:t xml:space="preserve">Descarga el mapa en .png</w:t>
        </w:r>
      </w:hyperlink>
      <w:r w:rsidDel="00000000" w:rsidR="00000000" w:rsidRPr="00000000">
        <w:rPr>
          <w:rtl w:val="0"/>
        </w:rPr>
      </w:r>
    </w:p>
    <w:tbl>
      <w:tblPr>
        <w:tblStyle w:val="Table3"/>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55">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56">
            <w:pPr>
              <w:spacing w:after="0" w:line="276" w:lineRule="auto"/>
              <w:jc w:val="right"/>
              <w:rPr>
                <w:rFonts w:ascii="Calibri" w:cs="Calibri" w:eastAsia="Calibri" w:hAnsi="Calibri"/>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1790700</wp:posOffset>
                  </wp:positionH>
                  <wp:positionV relativeFrom="paragraph">
                    <wp:posOffset>0</wp:posOffset>
                  </wp:positionV>
                  <wp:extent cx="590550" cy="219075"/>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0550" cy="219075"/>
                          </a:xfrm>
                          <a:prstGeom prst="rect"/>
                          <a:ln/>
                        </pic:spPr>
                      </pic:pic>
                    </a:graphicData>
                  </a:graphic>
                </wp:anchor>
              </w:drawing>
            </w:r>
          </w:p>
        </w:tc>
        <w:tc>
          <w:tcPr>
            <w:tcBorders>
              <w:left w:color="000000" w:space="0" w:sz="4" w:val="single"/>
            </w:tcBorders>
          </w:tcPr>
          <w:p w:rsidR="00000000" w:rsidDel="00000000" w:rsidP="00000000" w:rsidRDefault="00000000" w:rsidRPr="00000000" w14:paraId="00000057">
            <w:pPr>
              <w:spacing w:after="0" w:line="276" w:lineRule="auto"/>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58">
            <w:pPr>
              <w:spacing w:after="0" w:line="276" w:lineRule="auto"/>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59">
            <w:pPr>
              <w:spacing w:after="0" w:line="276" w:lineRule="auto"/>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5A">
            <w:pPr>
              <w:spacing w:after="0" w:line="276" w:lineRule="auto"/>
              <w:rPr>
                <w:sz w:val="20"/>
                <w:szCs w:val="20"/>
              </w:rPr>
            </w:pPr>
            <w:r w:rsidDel="00000000" w:rsidR="00000000" w:rsidRPr="00000000">
              <w:rPr>
                <w:sz w:val="20"/>
                <w:szCs w:val="20"/>
                <w:rtl w:val="0"/>
              </w:rPr>
              <w:t xml:space="preserve">+593 99 472 2408</w:t>
            </w:r>
          </w:p>
        </w:tc>
      </w:tr>
    </w:tbl>
    <w:p w:rsidR="00000000" w:rsidDel="00000000" w:rsidP="00000000" w:rsidRDefault="00000000" w:rsidRPr="00000000" w14:paraId="0000005B">
      <w:pPr>
        <w:jc w:val="left"/>
        <w:rPr/>
      </w:pPr>
      <w:r w:rsidDel="00000000" w:rsidR="00000000" w:rsidRPr="00000000">
        <w:rPr>
          <w:rtl w:val="0"/>
        </w:rPr>
      </w:r>
    </w:p>
    <w:sectPr>
      <w:headerReference r:id="rId13" w:type="default"/>
      <w:footerReference r:id="rId14" w:type="default"/>
      <w:pgSz w:h="15840" w:w="12240" w:orient="portrait"/>
      <w:pgMar w:bottom="1440" w:top="1296" w:left="1440"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ExtraBold">
    <w:embedBold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jc w:val="left"/>
      <w:rPr>
        <w:rFonts w:ascii="Montserrat Light" w:cs="Montserrat Light" w:eastAsia="Montserrat Light" w:hAnsi="Montserrat Light"/>
        <w:color w:val="0b0080"/>
        <w:sz w:val="20"/>
        <w:szCs w:val="20"/>
      </w:rPr>
    </w:pPr>
    <w:r w:rsidDel="00000000" w:rsidR="00000000" w:rsidRPr="00000000">
      <w:rPr>
        <w:rFonts w:ascii="Montserrat Light" w:cs="Montserrat Light" w:eastAsia="Montserrat Light" w:hAnsi="Montserrat Light"/>
        <w:color w:val="0b0080"/>
        <w:sz w:val="20"/>
        <w:szCs w:val="20"/>
        <w:rtl w:val="0"/>
      </w:rPr>
      <w:t xml:space="preserve">Para más información, escribe a </w:t>
    </w:r>
    <w:hyperlink r:id="rId1">
      <w:r w:rsidDel="00000000" w:rsidR="00000000" w:rsidRPr="00000000">
        <w:rPr>
          <w:rFonts w:ascii="Montserrat Light" w:cs="Montserrat Light" w:eastAsia="Montserrat Light" w:hAnsi="Montserrat Light"/>
          <w:color w:val="0b0080"/>
          <w:sz w:val="20"/>
          <w:szCs w:val="20"/>
          <w:u w:val="single"/>
          <w:rtl w:val="0"/>
        </w:rPr>
        <w:t xml:space="preserve">prensa@lifullconnect.com</w:t>
      </w:r>
    </w:hyperlink>
    <w:r w:rsidDel="00000000" w:rsidR="00000000" w:rsidRPr="00000000">
      <w:rPr>
        <w:rFonts w:ascii="Montserrat Light" w:cs="Montserrat Light" w:eastAsia="Montserrat Light" w:hAnsi="Montserrat Light"/>
        <w:color w:val="0b0080"/>
        <w:sz w:val="20"/>
        <w:szCs w:val="20"/>
        <w:rtl w:val="0"/>
      </w:rPr>
      <w:tab/>
      <w:tab/>
      <w:tab/>
      <w:tab/>
    </w:r>
    <w:r w:rsidDel="00000000" w:rsidR="00000000" w:rsidRPr="00000000">
      <w:rPr>
        <w:rFonts w:ascii="Montserrat Light" w:cs="Montserrat Light" w:eastAsia="Montserrat Light" w:hAnsi="Montserrat Light"/>
        <w:color w:val="0b0080"/>
        <w:sz w:val="20"/>
        <w:szCs w:val="20"/>
        <w:rtl w:val="0"/>
      </w:rPr>
      <w:t xml:space="preserve"> </w:t>
    </w:r>
    <w:r w:rsidDel="00000000" w:rsidR="00000000" w:rsidRPr="00000000">
      <w:rPr>
        <w:rFonts w:ascii="Montserrat Light" w:cs="Montserrat Light" w:eastAsia="Montserrat Light" w:hAnsi="Montserrat Light"/>
        <w:color w:val="0b0080"/>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color w:val="0b0080"/>
        <w:sz w:val="20"/>
        <w:szCs w:val="20"/>
        <w:rtl w:val="0"/>
      </w:rPr>
      <w:t xml:space="preserve"> de 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5438775</wp:posOffset>
          </wp:positionH>
          <wp:positionV relativeFrom="paragraph">
            <wp:posOffset>-180974</wp:posOffset>
          </wp:positionV>
          <wp:extent cx="1109663" cy="414274"/>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09663" cy="41427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12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20124d"/>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20124d"/>
      <w:sz w:val="28"/>
      <w:szCs w:val="28"/>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20124d"/>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CtQ0nTnyMS_FqdwQmePU3MYYaLMN6u2g/view?usp=share_link" TargetMode="External"/><Relationship Id="rId10" Type="http://schemas.openxmlformats.org/officeDocument/2006/relationships/hyperlink" Target="https://casas.trovit.cl/" TargetMode="External"/><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CtQ0nTnyMS_FqdwQmePU3MYYaLMN6u2g/view?usp=share_link"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asas.trovit.cl/" TargetMode="External"/><Relationship Id="rId7" Type="http://schemas.openxmlformats.org/officeDocument/2006/relationships/image" Target="media/image2.png"/><Relationship Id="rId8" Type="http://schemas.openxmlformats.org/officeDocument/2006/relationships/hyperlink" Target="https://bit.ly/cerro-san-cristobal-precio-viviendas-2023-sgo"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MontserratExtraBold-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MontserratExtraBold-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